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rsidR="009B0820" w:rsidRPr="00F02979" w:rsidRDefault="009B0820">
      <w:pPr>
        <w:jc w:val="center"/>
        <w:rPr>
          <w:rFonts w:ascii="Arial" w:hAnsi="Arial" w:cs="Arial"/>
          <w:sz w:val="22"/>
          <w:szCs w:val="22"/>
        </w:rPr>
      </w:pPr>
      <w:r w:rsidRPr="00F02979">
        <w:rPr>
          <w:rFonts w:ascii="Arial" w:hAnsi="Arial" w:cs="Arial"/>
          <w:sz w:val="22"/>
          <w:szCs w:val="22"/>
        </w:rPr>
        <w:t> </w:t>
      </w:r>
    </w:p>
    <w:p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rsidR="009B0820" w:rsidRPr="00F02979" w:rsidRDefault="009B0820">
      <w:pPr>
        <w:jc w:val="center"/>
        <w:rPr>
          <w:rFonts w:ascii="Arial" w:hAnsi="Arial" w:cs="Arial"/>
          <w:b/>
          <w:sz w:val="22"/>
          <w:szCs w:val="22"/>
        </w:rPr>
      </w:pPr>
      <w:r w:rsidRPr="00F02979">
        <w:rPr>
          <w:rFonts w:ascii="Arial" w:hAnsi="Arial" w:cs="Arial"/>
          <w:b/>
          <w:sz w:val="22"/>
          <w:szCs w:val="22"/>
        </w:rPr>
        <w:t>I.</w:t>
      </w:r>
    </w:p>
    <w:p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rsidR="009B0820" w:rsidRPr="00F02979" w:rsidRDefault="009B0820">
      <w:pPr>
        <w:jc w:val="center"/>
        <w:rPr>
          <w:rFonts w:ascii="Arial" w:hAnsi="Arial" w:cs="Arial"/>
          <w:b/>
          <w:sz w:val="22"/>
          <w:szCs w:val="22"/>
        </w:rPr>
      </w:pPr>
      <w:r w:rsidRPr="00F02979">
        <w:rPr>
          <w:rFonts w:ascii="Arial" w:hAnsi="Arial" w:cs="Arial"/>
          <w:b/>
          <w:sz w:val="22"/>
          <w:szCs w:val="22"/>
        </w:rPr>
        <w:t> </w:t>
      </w:r>
    </w:p>
    <w:p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r w:rsidRPr="00F02979">
        <w:rPr>
          <w:rFonts w:ascii="Arial" w:hAnsi="Arial" w:cs="Arial"/>
          <w:b/>
          <w:bCs/>
          <w:sz w:val="22"/>
          <w:szCs w:val="22"/>
        </w:rPr>
        <w:t>hl.m. Prahy</w:t>
      </w:r>
      <w:r w:rsidR="001515B3" w:rsidRPr="00F02979">
        <w:rPr>
          <w:rFonts w:ascii="Arial" w:hAnsi="Arial" w:cs="Arial"/>
          <w:b/>
          <w:bCs/>
          <w:sz w:val="22"/>
          <w:szCs w:val="22"/>
        </w:rPr>
        <w:t>, a.s.</w:t>
      </w:r>
      <w:r w:rsidRPr="00F02979">
        <w:rPr>
          <w:rFonts w:ascii="Arial" w:hAnsi="Arial" w:cs="Arial"/>
          <w:sz w:val="22"/>
          <w:szCs w:val="22"/>
        </w:rPr>
        <w:t xml:space="preserve">        </w:t>
      </w:r>
    </w:p>
    <w:p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B20059</w:t>
      </w:r>
    </w:p>
    <w:p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r w:rsidRPr="00F02979">
        <w:rPr>
          <w:rFonts w:ascii="Arial" w:hAnsi="Arial" w:cs="Arial"/>
          <w:sz w:val="22"/>
          <w:szCs w:val="22"/>
        </w:rPr>
        <w:t>č.ú. 2023100003/6000</w:t>
      </w:r>
    </w:p>
    <w:p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Sinčákem, MBA, generálním ředitelem a předsedou </w:t>
      </w:r>
    </w:p>
    <w:p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rsidR="00DD43B0" w:rsidRPr="00F02979" w:rsidRDefault="00367C19" w:rsidP="00FA5A47">
      <w:pPr>
        <w:pStyle w:val="Zpat"/>
        <w:tabs>
          <w:tab w:val="left" w:pos="1560"/>
          <w:tab w:val="right" w:pos="9639"/>
        </w:tabs>
        <w:ind w:left="1416"/>
        <w:jc w:val="both"/>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F02979" w:rsidRDefault="009B0820">
      <w:pPr>
        <w:ind w:left="1416" w:firstLine="144"/>
        <w:rPr>
          <w:rFonts w:ascii="Arial" w:hAnsi="Arial" w:cs="Arial"/>
          <w:sz w:val="22"/>
          <w:szCs w:val="22"/>
        </w:rPr>
      </w:pPr>
    </w:p>
    <w:p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zmocněné k jednání ve věcech technických:  </w:t>
      </w:r>
    </w:p>
    <w:p w:rsidR="00367C1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rsidR="00F36F8C" w:rsidRPr="00F02979" w:rsidRDefault="00F36F8C" w:rsidP="00F36F8C">
      <w:pPr>
        <w:rPr>
          <w:rFonts w:ascii="Arial" w:hAnsi="Arial" w:cs="Arial"/>
          <w:sz w:val="22"/>
          <w:szCs w:val="22"/>
        </w:rPr>
      </w:pPr>
      <w:r>
        <w:rPr>
          <w:rFonts w:ascii="Arial" w:hAnsi="Arial" w:cs="Arial"/>
          <w:sz w:val="22"/>
          <w:szCs w:val="22"/>
        </w:rPr>
        <w:t xml:space="preserve">                                            </w:t>
      </w:r>
      <w:r w:rsidRPr="00F36F8C">
        <w:rPr>
          <w:rFonts w:ascii="Arial" w:hAnsi="Arial" w:cs="Arial"/>
          <w:sz w:val="22"/>
          <w:szCs w:val="22"/>
        </w:rPr>
        <w:t xml:space="preserve">Ing. Stanislav Šebesta, vedoucí </w:t>
      </w:r>
      <w:r w:rsidR="00EF1621">
        <w:rPr>
          <w:rFonts w:ascii="Arial" w:hAnsi="Arial" w:cs="Arial"/>
          <w:sz w:val="22"/>
          <w:szCs w:val="22"/>
        </w:rPr>
        <w:t>oddělení strategických investic</w:t>
      </w:r>
    </w:p>
    <w:p w:rsidR="00367C19" w:rsidRPr="00DE77D1" w:rsidRDefault="00367C19" w:rsidP="00367C19">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F36F8C">
        <w:rPr>
          <w:rFonts w:ascii="Arial" w:hAnsi="Arial" w:cs="Arial"/>
          <w:sz w:val="22"/>
          <w:szCs w:val="22"/>
        </w:rPr>
        <w:t xml:space="preserve">                              Věra Bartošová</w:t>
      </w:r>
      <w:r w:rsidR="009C1F8C" w:rsidRPr="00F02979">
        <w:rPr>
          <w:rFonts w:ascii="Arial" w:hAnsi="Arial" w:cs="Arial"/>
          <w:sz w:val="22"/>
          <w:szCs w:val="22"/>
        </w:rPr>
        <w:t xml:space="preserve"> </w:t>
      </w:r>
      <w:r w:rsidRPr="00F02979">
        <w:rPr>
          <w:rFonts w:ascii="Arial" w:hAnsi="Arial" w:cs="Arial"/>
          <w:sz w:val="22"/>
          <w:szCs w:val="22"/>
        </w:rPr>
        <w:t xml:space="preserve"> - </w:t>
      </w:r>
      <w:r w:rsidR="00F36F8C">
        <w:rPr>
          <w:rFonts w:ascii="Arial" w:hAnsi="Arial" w:cs="Arial"/>
          <w:sz w:val="22"/>
          <w:szCs w:val="22"/>
        </w:rPr>
        <w:t>technik</w:t>
      </w:r>
      <w:r w:rsidR="00F36F8C" w:rsidRPr="00F36F8C">
        <w:rPr>
          <w:rFonts w:ascii="Arial" w:hAnsi="Arial" w:cs="Arial"/>
          <w:sz w:val="22"/>
          <w:szCs w:val="22"/>
        </w:rPr>
        <w:t xml:space="preserve"> oddělení strategických investic</w:t>
      </w:r>
    </w:p>
    <w:p w:rsidR="008B6626" w:rsidRDefault="009B0820">
      <w:pPr>
        <w:pStyle w:val="Zhlav"/>
        <w:tabs>
          <w:tab w:val="left" w:pos="708"/>
        </w:tabs>
        <w:rPr>
          <w:rFonts w:ascii="Arial" w:hAnsi="Arial" w:cs="Arial"/>
          <w:sz w:val="22"/>
          <w:szCs w:val="22"/>
        </w:rPr>
      </w:pPr>
      <w:r w:rsidRPr="00F02979">
        <w:rPr>
          <w:rFonts w:ascii="Arial" w:hAnsi="Arial" w:cs="Arial"/>
          <w:sz w:val="22"/>
          <w:szCs w:val="22"/>
        </w:rPr>
        <w:tab/>
      </w:r>
    </w:p>
    <w:p w:rsidR="009B0820" w:rsidRPr="00F02979" w:rsidRDefault="009B0820">
      <w:pPr>
        <w:pStyle w:val="Zhlav"/>
        <w:tabs>
          <w:tab w:val="left" w:pos="708"/>
        </w:tabs>
        <w:rPr>
          <w:rFonts w:ascii="Arial" w:hAnsi="Arial" w:cs="Arial"/>
          <w:sz w:val="22"/>
          <w:szCs w:val="22"/>
        </w:rPr>
      </w:pPr>
    </w:p>
    <w:p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ú.: ......................... </w:t>
      </w:r>
    </w:p>
    <w:p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rsidR="009B0820" w:rsidRPr="00F02979" w:rsidRDefault="009B0820">
      <w:pPr>
        <w:rPr>
          <w:rFonts w:ascii="Arial" w:hAnsi="Arial" w:cs="Arial"/>
          <w:sz w:val="22"/>
          <w:szCs w:val="22"/>
        </w:rPr>
      </w:pPr>
      <w:r w:rsidRPr="00F02979">
        <w:rPr>
          <w:rFonts w:ascii="Arial" w:hAnsi="Arial" w:cs="Arial"/>
          <w:sz w:val="22"/>
          <w:szCs w:val="22"/>
        </w:rPr>
        <w:t xml:space="preserve">                    </w:t>
      </w:r>
    </w:p>
    <w:p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rsidR="00BB3CDE" w:rsidRDefault="00BB3CDE">
      <w:pPr>
        <w:jc w:val="both"/>
        <w:rPr>
          <w:rFonts w:ascii="Arial" w:hAnsi="Arial" w:cs="Arial"/>
          <w:sz w:val="22"/>
          <w:szCs w:val="22"/>
        </w:rPr>
      </w:pPr>
    </w:p>
    <w:p w:rsidR="00F36F8C" w:rsidRDefault="00F36F8C">
      <w:pPr>
        <w:jc w:val="both"/>
        <w:rPr>
          <w:rFonts w:ascii="Arial" w:hAnsi="Arial" w:cs="Arial"/>
          <w:sz w:val="22"/>
          <w:szCs w:val="22"/>
        </w:rPr>
      </w:pPr>
    </w:p>
    <w:p w:rsidR="00F36F8C" w:rsidRDefault="00F36F8C">
      <w:pPr>
        <w:jc w:val="both"/>
        <w:rPr>
          <w:rFonts w:ascii="Arial" w:hAnsi="Arial" w:cs="Arial"/>
          <w:sz w:val="22"/>
          <w:szCs w:val="22"/>
        </w:rPr>
      </w:pPr>
    </w:p>
    <w:p w:rsidR="00F36F8C" w:rsidRDefault="00F36F8C">
      <w:pPr>
        <w:jc w:val="both"/>
        <w:rPr>
          <w:rFonts w:ascii="Arial" w:hAnsi="Arial" w:cs="Arial"/>
          <w:sz w:val="22"/>
          <w:szCs w:val="22"/>
        </w:rPr>
      </w:pPr>
    </w:p>
    <w:p w:rsidR="00F36F8C" w:rsidRPr="00F02979" w:rsidRDefault="00F36F8C">
      <w:pPr>
        <w:jc w:val="both"/>
        <w:rPr>
          <w:rFonts w:ascii="Arial" w:hAnsi="Arial" w:cs="Arial"/>
          <w:sz w:val="22"/>
          <w:szCs w:val="22"/>
        </w:rPr>
      </w:pPr>
    </w:p>
    <w:p w:rsidR="00D14BA0" w:rsidRPr="00F02979" w:rsidRDefault="00D14BA0" w:rsidP="00A24EA8">
      <w:pPr>
        <w:pStyle w:val="Nadpis2"/>
        <w:jc w:val="center"/>
        <w:rPr>
          <w:rFonts w:ascii="Arial" w:hAnsi="Arial" w:cs="Arial"/>
          <w:sz w:val="22"/>
          <w:szCs w:val="22"/>
        </w:rPr>
      </w:pPr>
    </w:p>
    <w:p w:rsidR="009B0820" w:rsidRPr="00FA5A47" w:rsidRDefault="009B0820" w:rsidP="00A24EA8">
      <w:pPr>
        <w:pStyle w:val="Nadpis2"/>
        <w:jc w:val="center"/>
        <w:rPr>
          <w:rFonts w:ascii="Arial" w:hAnsi="Arial" w:cs="Arial"/>
          <w:sz w:val="22"/>
          <w:szCs w:val="22"/>
        </w:rPr>
      </w:pPr>
      <w:r w:rsidRPr="00FA5A47">
        <w:rPr>
          <w:rFonts w:ascii="Arial" w:hAnsi="Arial" w:cs="Arial"/>
          <w:sz w:val="22"/>
          <w:szCs w:val="22"/>
        </w:rPr>
        <w:lastRenderedPageBreak/>
        <w:t>II.</w:t>
      </w:r>
    </w:p>
    <w:p w:rsidR="009B0820" w:rsidRPr="00FA5A47" w:rsidRDefault="009B0820">
      <w:pPr>
        <w:pStyle w:val="Nadpis2"/>
        <w:jc w:val="center"/>
        <w:rPr>
          <w:rFonts w:ascii="Arial" w:hAnsi="Arial" w:cs="Arial"/>
          <w:sz w:val="22"/>
          <w:szCs w:val="22"/>
        </w:rPr>
      </w:pPr>
      <w:r w:rsidRPr="00FA5A47">
        <w:rPr>
          <w:rFonts w:ascii="Arial" w:hAnsi="Arial" w:cs="Arial"/>
          <w:sz w:val="22"/>
          <w:szCs w:val="22"/>
        </w:rPr>
        <w:t xml:space="preserve">Předmět smlouvy </w:t>
      </w:r>
    </w:p>
    <w:p w:rsidR="009B0820" w:rsidRPr="00FA5A47" w:rsidRDefault="009B0820">
      <w:pPr>
        <w:pStyle w:val="Nadpis2"/>
        <w:rPr>
          <w:rFonts w:ascii="Arial" w:hAnsi="Arial" w:cs="Arial"/>
          <w:sz w:val="22"/>
          <w:szCs w:val="22"/>
        </w:rPr>
      </w:pPr>
      <w:r w:rsidRPr="00FA5A47">
        <w:rPr>
          <w:rFonts w:ascii="Arial" w:hAnsi="Arial" w:cs="Arial"/>
          <w:sz w:val="22"/>
          <w:szCs w:val="22"/>
        </w:rPr>
        <w:t> </w:t>
      </w:r>
    </w:p>
    <w:p w:rsidR="005D3A60" w:rsidRDefault="001114B3" w:rsidP="00A24250">
      <w:pPr>
        <w:pStyle w:val="Odstavecseseznamem"/>
        <w:numPr>
          <w:ilvl w:val="0"/>
          <w:numId w:val="17"/>
        </w:numPr>
        <w:spacing w:before="240" w:line="240" w:lineRule="exact"/>
        <w:ind w:left="426" w:hanging="720"/>
        <w:jc w:val="both"/>
        <w:rPr>
          <w:rFonts w:ascii="Arial" w:hAnsi="Arial" w:cs="Arial"/>
          <w:sz w:val="22"/>
          <w:szCs w:val="22"/>
        </w:rPr>
      </w:pPr>
      <w:r w:rsidRPr="00E40DB0">
        <w:rPr>
          <w:rFonts w:ascii="Arial" w:hAnsi="Arial" w:cs="Arial"/>
          <w:sz w:val="22"/>
          <w:szCs w:val="22"/>
          <w:u w:val="single"/>
        </w:rPr>
        <w:t xml:space="preserve">Předmětem </w:t>
      </w:r>
      <w:r w:rsidR="009B0820" w:rsidRPr="00E40DB0">
        <w:rPr>
          <w:rFonts w:ascii="Arial" w:hAnsi="Arial" w:cs="Arial"/>
          <w:sz w:val="22"/>
          <w:szCs w:val="22"/>
          <w:u w:val="single"/>
        </w:rPr>
        <w:t>smlouvy je zhotovení díla</w:t>
      </w:r>
      <w:r w:rsidR="009B0820" w:rsidRPr="00E40DB0">
        <w:rPr>
          <w:rFonts w:ascii="Arial" w:hAnsi="Arial" w:cs="Arial"/>
          <w:sz w:val="22"/>
          <w:szCs w:val="22"/>
        </w:rPr>
        <w:t xml:space="preserve">: </w:t>
      </w:r>
      <w:r w:rsidR="00F36F8C" w:rsidRPr="00E40DB0">
        <w:rPr>
          <w:rFonts w:ascii="Arial" w:hAnsi="Arial" w:cs="Arial"/>
          <w:b/>
          <w:sz w:val="22"/>
          <w:szCs w:val="22"/>
        </w:rPr>
        <w:t xml:space="preserve">„Barrandovský most – celková rekonstrukce, </w:t>
      </w:r>
      <w:r w:rsidR="00E40DB0" w:rsidRPr="00E40DB0">
        <w:rPr>
          <w:rFonts w:ascii="Arial" w:hAnsi="Arial" w:cs="Arial"/>
          <w:b/>
          <w:sz w:val="22"/>
          <w:szCs w:val="22"/>
        </w:rPr>
        <w:t xml:space="preserve"> </w:t>
      </w:r>
      <w:r w:rsidR="00A24250">
        <w:rPr>
          <w:rFonts w:ascii="Arial" w:hAnsi="Arial" w:cs="Arial"/>
          <w:b/>
          <w:sz w:val="22"/>
          <w:szCs w:val="22"/>
        </w:rPr>
        <w:t xml:space="preserve">                   </w:t>
      </w:r>
      <w:r w:rsidR="00E40DB0" w:rsidRPr="00E40DB0">
        <w:rPr>
          <w:rFonts w:ascii="Arial" w:hAnsi="Arial" w:cs="Arial"/>
          <w:b/>
          <w:sz w:val="22"/>
          <w:szCs w:val="22"/>
        </w:rPr>
        <w:t xml:space="preserve">   </w:t>
      </w:r>
      <w:r w:rsidR="00F36F8C" w:rsidRPr="00E40DB0">
        <w:rPr>
          <w:rFonts w:ascii="Arial" w:hAnsi="Arial" w:cs="Arial"/>
          <w:b/>
          <w:sz w:val="22"/>
          <w:szCs w:val="22"/>
        </w:rPr>
        <w:t xml:space="preserve">I. etapa sanace spodní stavby Praha 4 a 5, č. akce 999174/1“ </w:t>
      </w:r>
      <w:r w:rsidR="00D14BA0" w:rsidRPr="00E40DB0">
        <w:rPr>
          <w:rFonts w:ascii="Arial" w:hAnsi="Arial" w:cs="Arial"/>
          <w:sz w:val="22"/>
          <w:szCs w:val="22"/>
        </w:rPr>
        <w:t xml:space="preserve">dle projektové dokumentace </w:t>
      </w:r>
      <w:r w:rsidR="00F36F8C" w:rsidRPr="00E40DB0">
        <w:rPr>
          <w:rFonts w:ascii="Arial" w:hAnsi="Arial" w:cs="Arial"/>
          <w:sz w:val="22"/>
          <w:szCs w:val="22"/>
        </w:rPr>
        <w:t xml:space="preserve">(DVZ) v úrovni PDPS, zpracované </w:t>
      </w:r>
      <w:r w:rsidR="005D3A60" w:rsidRPr="00E40DB0">
        <w:rPr>
          <w:rFonts w:ascii="Arial" w:hAnsi="Arial" w:cs="Arial"/>
          <w:sz w:val="22"/>
          <w:szCs w:val="22"/>
        </w:rPr>
        <w:t xml:space="preserve"> v 11/2019 </w:t>
      </w:r>
      <w:r w:rsidR="003B40CE" w:rsidRPr="00E40DB0">
        <w:rPr>
          <w:rFonts w:ascii="Arial" w:hAnsi="Arial" w:cs="Arial"/>
          <w:sz w:val="22"/>
          <w:szCs w:val="22"/>
        </w:rPr>
        <w:t xml:space="preserve">společnostmi </w:t>
      </w:r>
      <w:r w:rsidR="005D3A60" w:rsidRPr="00E40DB0">
        <w:rPr>
          <w:rFonts w:ascii="Arial" w:hAnsi="Arial" w:cs="Arial"/>
          <w:sz w:val="22"/>
          <w:szCs w:val="22"/>
        </w:rPr>
        <w:t xml:space="preserve">a) NOVÁK &amp; PARTNER, s.r.o., b) Valbek, spol. s r.o., a c) PONTEX, spol. s r.o. </w:t>
      </w:r>
      <w:r w:rsidR="003B40CE" w:rsidRPr="00E40DB0">
        <w:rPr>
          <w:rFonts w:ascii="Arial" w:hAnsi="Arial" w:cs="Arial"/>
          <w:sz w:val="22"/>
          <w:szCs w:val="22"/>
        </w:rPr>
        <w:t>,</w:t>
      </w:r>
      <w:r w:rsidR="005D3A60" w:rsidRPr="00E40DB0">
        <w:rPr>
          <w:rFonts w:ascii="Arial" w:hAnsi="Arial" w:cs="Arial"/>
          <w:sz w:val="22"/>
          <w:szCs w:val="22"/>
        </w:rPr>
        <w:t xml:space="preserve">  </w:t>
      </w:r>
      <w:r w:rsidR="003B40CE" w:rsidRPr="00E40DB0">
        <w:rPr>
          <w:rFonts w:ascii="Arial" w:hAnsi="Arial" w:cs="Arial"/>
          <w:sz w:val="22"/>
          <w:szCs w:val="22"/>
        </w:rPr>
        <w:t xml:space="preserve">sdruženými </w:t>
      </w:r>
      <w:r w:rsidR="005D3A60" w:rsidRPr="00E40DB0">
        <w:rPr>
          <w:rFonts w:ascii="Arial" w:hAnsi="Arial" w:cs="Arial"/>
          <w:sz w:val="22"/>
          <w:szCs w:val="22"/>
        </w:rPr>
        <w:t>ve smyslu § 2716 a násl. zákona č. 89/2012 Sb., občanský zákoník, ve společnost  „Sdružení NOVAPO“</w:t>
      </w:r>
      <w:r w:rsidR="00E40DB0">
        <w:rPr>
          <w:rFonts w:ascii="Arial" w:hAnsi="Arial" w:cs="Arial"/>
          <w:sz w:val="22"/>
          <w:szCs w:val="22"/>
        </w:rPr>
        <w:t>.</w:t>
      </w:r>
    </w:p>
    <w:p w:rsidR="00E40DB0" w:rsidRPr="00E40DB0" w:rsidRDefault="00E40DB0" w:rsidP="00E40DB0">
      <w:pPr>
        <w:pStyle w:val="Odstavecseseznamem"/>
        <w:spacing w:before="600" w:line="240" w:lineRule="exact"/>
        <w:ind w:left="426"/>
        <w:jc w:val="both"/>
        <w:rPr>
          <w:rFonts w:ascii="Arial" w:hAnsi="Arial" w:cs="Arial"/>
          <w:sz w:val="22"/>
          <w:szCs w:val="22"/>
        </w:rPr>
      </w:pPr>
    </w:p>
    <w:p w:rsidR="00B46AD0" w:rsidRPr="00FA5A47" w:rsidRDefault="00B46AD0" w:rsidP="00DE77D1">
      <w:pPr>
        <w:pStyle w:val="Odstavecseseznamem"/>
        <w:spacing w:before="600" w:line="240" w:lineRule="exact"/>
        <w:ind w:left="426"/>
        <w:jc w:val="both"/>
        <w:rPr>
          <w:rFonts w:ascii="Arial" w:hAnsi="Arial" w:cs="Arial"/>
          <w:sz w:val="22"/>
          <w:szCs w:val="22"/>
        </w:rPr>
      </w:pPr>
      <w:r w:rsidRPr="00FA5A47">
        <w:rPr>
          <w:rFonts w:ascii="Arial" w:hAnsi="Arial" w:cs="Arial"/>
          <w:sz w:val="22"/>
          <w:szCs w:val="22"/>
        </w:rPr>
        <w:t>Dílo je vymezeno následovně:</w:t>
      </w:r>
    </w:p>
    <w:p w:rsidR="00130ADB" w:rsidRPr="00FA5A47" w:rsidRDefault="00130ADB" w:rsidP="00E60415">
      <w:pPr>
        <w:pStyle w:val="Odstavecseseznamem"/>
        <w:spacing w:before="120"/>
        <w:ind w:left="426"/>
        <w:jc w:val="both"/>
        <w:rPr>
          <w:rFonts w:ascii="Arial" w:hAnsi="Arial" w:cs="Arial"/>
          <w:sz w:val="22"/>
          <w:szCs w:val="22"/>
        </w:rPr>
      </w:pPr>
    </w:p>
    <w:p w:rsidR="00F36F8C" w:rsidRPr="00FA5A47" w:rsidRDefault="00F36F8C" w:rsidP="00E40DB0">
      <w:pPr>
        <w:pStyle w:val="Zhlav"/>
        <w:tabs>
          <w:tab w:val="left" w:pos="426"/>
        </w:tabs>
        <w:spacing w:after="120"/>
        <w:ind w:left="426"/>
        <w:jc w:val="both"/>
        <w:rPr>
          <w:rFonts w:ascii="Arial" w:hAnsi="Arial" w:cs="Arial"/>
          <w:sz w:val="22"/>
          <w:szCs w:val="22"/>
        </w:rPr>
      </w:pPr>
      <w:r w:rsidRPr="00FA5A47">
        <w:rPr>
          <w:rFonts w:ascii="Arial" w:hAnsi="Arial" w:cs="Arial"/>
          <w:sz w:val="22"/>
          <w:szCs w:val="22"/>
        </w:rPr>
        <w:t>Předmětem plnění je sanace spod</w:t>
      </w:r>
      <w:r w:rsidR="00E40DB0">
        <w:rPr>
          <w:rFonts w:ascii="Arial" w:hAnsi="Arial" w:cs="Arial"/>
          <w:sz w:val="22"/>
          <w:szCs w:val="22"/>
        </w:rPr>
        <w:t xml:space="preserve">ní stavby Barrandovského mostu. </w:t>
      </w:r>
      <w:r w:rsidRPr="00FA5A47">
        <w:rPr>
          <w:rFonts w:ascii="Arial" w:hAnsi="Arial" w:cs="Arial"/>
          <w:sz w:val="22"/>
          <w:szCs w:val="22"/>
        </w:rPr>
        <w:t xml:space="preserve">Spodní stavba se skládá z krajních opěr a mezilehlých pilířů a je založena hlubině. Všechny opěry a pilíře na břehu byly založeny na podzemních stěnách, návodní pilíře byly založeny na mikropilotách. Krajní opěry </w:t>
      </w:r>
      <w:r w:rsidR="003B40CE" w:rsidRPr="00FA5A47">
        <w:rPr>
          <w:rFonts w:ascii="Arial" w:hAnsi="Arial" w:cs="Arial"/>
          <w:sz w:val="22"/>
          <w:szCs w:val="22"/>
        </w:rPr>
        <w:t xml:space="preserve">tvoří </w:t>
      </w:r>
      <w:r w:rsidRPr="00FA5A47">
        <w:rPr>
          <w:rFonts w:ascii="Arial" w:hAnsi="Arial" w:cs="Arial"/>
          <w:sz w:val="22"/>
          <w:szCs w:val="22"/>
        </w:rPr>
        <w:t>železobetonové masivní bloky z B 330. Při sanaci spodní stavby nebude do opěr zasahováno. Vlastní opěry budou sanovány až při celkové rekonstrukci Barrandovského mostu.</w:t>
      </w:r>
    </w:p>
    <w:p w:rsidR="00F36F8C" w:rsidRDefault="00F36F8C" w:rsidP="00F36F8C">
      <w:pPr>
        <w:ind w:left="426"/>
        <w:jc w:val="both"/>
        <w:rPr>
          <w:rFonts w:ascii="Arial" w:hAnsi="Arial" w:cs="Arial"/>
          <w:sz w:val="22"/>
          <w:szCs w:val="22"/>
        </w:rPr>
      </w:pPr>
      <w:r w:rsidRPr="00FA5A47">
        <w:rPr>
          <w:rFonts w:ascii="Arial" w:hAnsi="Arial" w:cs="Arial"/>
          <w:sz w:val="22"/>
          <w:szCs w:val="22"/>
        </w:rPr>
        <w:t xml:space="preserve">Mezilehlé podpěry </w:t>
      </w:r>
      <w:r w:rsidR="003B40CE" w:rsidRPr="00FA5A47">
        <w:rPr>
          <w:rFonts w:ascii="Arial" w:hAnsi="Arial" w:cs="Arial"/>
          <w:sz w:val="22"/>
          <w:szCs w:val="22"/>
        </w:rPr>
        <w:t xml:space="preserve">tvoří </w:t>
      </w:r>
      <w:r w:rsidRPr="00FA5A47">
        <w:rPr>
          <w:rFonts w:ascii="Arial" w:hAnsi="Arial" w:cs="Arial"/>
          <w:sz w:val="22"/>
          <w:szCs w:val="22"/>
        </w:rPr>
        <w:t>masivní železobetonové pilíře založené na mikropilotách se základy                       z B 330. Pilíře podporující obě nosné konstrukce mají příčle z předpjatého betonu z</w:t>
      </w:r>
      <w:r w:rsidR="00FA5A47" w:rsidRPr="00FA5A47">
        <w:rPr>
          <w:rFonts w:ascii="Arial" w:hAnsi="Arial" w:cs="Arial"/>
          <w:sz w:val="22"/>
          <w:szCs w:val="22"/>
        </w:rPr>
        <w:t xml:space="preserve"> </w:t>
      </w:r>
      <w:r w:rsidRPr="00FA5A47">
        <w:rPr>
          <w:rFonts w:ascii="Arial" w:hAnsi="Arial" w:cs="Arial"/>
          <w:sz w:val="22"/>
          <w:szCs w:val="22"/>
        </w:rPr>
        <w:t xml:space="preserve">B 400.                    Při sanaci spodní stavby pilířů dojde k celoplošnému otryskání povrchů, sanaci narušených míst, aplikaci celoplošné vyrovnávací stěrky a </w:t>
      </w:r>
      <w:r w:rsidR="003B40CE" w:rsidRPr="00FA5A47">
        <w:rPr>
          <w:rFonts w:ascii="Arial" w:hAnsi="Arial" w:cs="Arial"/>
          <w:sz w:val="22"/>
          <w:szCs w:val="22"/>
        </w:rPr>
        <w:t xml:space="preserve">k </w:t>
      </w:r>
      <w:r w:rsidRPr="00FA5A47">
        <w:rPr>
          <w:rFonts w:ascii="Arial" w:hAnsi="Arial" w:cs="Arial"/>
          <w:sz w:val="22"/>
          <w:szCs w:val="22"/>
        </w:rPr>
        <w:t>sjednocující</w:t>
      </w:r>
      <w:r w:rsidR="003B40CE" w:rsidRPr="00FA5A47">
        <w:rPr>
          <w:rFonts w:ascii="Arial" w:hAnsi="Arial" w:cs="Arial"/>
          <w:sz w:val="22"/>
          <w:szCs w:val="22"/>
        </w:rPr>
        <w:t>mu</w:t>
      </w:r>
      <w:r w:rsidRPr="00FA5A47">
        <w:rPr>
          <w:rFonts w:ascii="Arial" w:hAnsi="Arial" w:cs="Arial"/>
          <w:sz w:val="22"/>
          <w:szCs w:val="22"/>
        </w:rPr>
        <w:t xml:space="preserve"> nátěr</w:t>
      </w:r>
      <w:r w:rsidR="003B40CE" w:rsidRPr="00FA5A47">
        <w:rPr>
          <w:rFonts w:ascii="Arial" w:hAnsi="Arial" w:cs="Arial"/>
          <w:sz w:val="22"/>
          <w:szCs w:val="22"/>
        </w:rPr>
        <w:t>u</w:t>
      </w:r>
      <w:r w:rsidRPr="00FA5A47">
        <w:rPr>
          <w:rFonts w:ascii="Arial" w:hAnsi="Arial" w:cs="Arial"/>
          <w:sz w:val="22"/>
          <w:szCs w:val="22"/>
        </w:rPr>
        <w:t xml:space="preserve">. Dále bude na horní povrch </w:t>
      </w:r>
      <w:r w:rsidR="003B40CE" w:rsidRPr="00FA5A47">
        <w:rPr>
          <w:rFonts w:ascii="Arial" w:hAnsi="Arial" w:cs="Arial"/>
          <w:sz w:val="22"/>
          <w:szCs w:val="22"/>
        </w:rPr>
        <w:t xml:space="preserve">příčlí </w:t>
      </w:r>
      <w:r w:rsidRPr="00FA5A47">
        <w:rPr>
          <w:rFonts w:ascii="Arial" w:hAnsi="Arial" w:cs="Arial"/>
          <w:sz w:val="22"/>
          <w:szCs w:val="22"/>
        </w:rPr>
        <w:t>pilířů vybetonována spádová deska, která zajistí bezproblémové odvedení vody z horního povrchu betonové příčle. Spádová deska</w:t>
      </w:r>
      <w:r>
        <w:rPr>
          <w:rFonts w:ascii="Arial" w:hAnsi="Arial" w:cs="Arial"/>
          <w:sz w:val="22"/>
          <w:szCs w:val="22"/>
        </w:rPr>
        <w:t xml:space="preserve"> bude provedena z betonu C30/37 XF4,XC3,XD1. Spádová deska bude se stávající konstrukcí spojena pomocí navrtané výztuže F10</w:t>
      </w:r>
      <w:r w:rsidR="00FA5A47">
        <w:rPr>
          <w:rFonts w:ascii="Arial" w:hAnsi="Arial" w:cs="Arial"/>
          <w:sz w:val="22"/>
          <w:szCs w:val="22"/>
        </w:rPr>
        <w:t xml:space="preserve"> </w:t>
      </w:r>
      <w:r>
        <w:rPr>
          <w:rFonts w:ascii="Arial" w:hAnsi="Arial" w:cs="Arial"/>
          <w:sz w:val="22"/>
          <w:szCs w:val="22"/>
        </w:rPr>
        <w:t>mm v rastru 0,5x0,5</w:t>
      </w:r>
      <w:r w:rsidR="00FA5A47">
        <w:rPr>
          <w:rFonts w:ascii="Arial" w:hAnsi="Arial" w:cs="Arial"/>
          <w:sz w:val="22"/>
          <w:szCs w:val="22"/>
        </w:rPr>
        <w:t xml:space="preserve"> </w:t>
      </w:r>
      <w:r>
        <w:rPr>
          <w:rFonts w:ascii="Arial" w:hAnsi="Arial" w:cs="Arial"/>
          <w:sz w:val="22"/>
          <w:szCs w:val="22"/>
        </w:rPr>
        <w:t xml:space="preserve">m. </w:t>
      </w:r>
    </w:p>
    <w:p w:rsidR="00F36F8C" w:rsidRDefault="00F36F8C" w:rsidP="00F36F8C">
      <w:pPr>
        <w:ind w:left="426"/>
        <w:jc w:val="both"/>
        <w:rPr>
          <w:rFonts w:ascii="Arial" w:hAnsi="Arial" w:cs="Arial"/>
          <w:sz w:val="22"/>
          <w:szCs w:val="22"/>
        </w:rPr>
      </w:pPr>
      <w:r>
        <w:rPr>
          <w:rFonts w:ascii="Arial" w:hAnsi="Arial" w:cs="Arial"/>
          <w:sz w:val="22"/>
          <w:szCs w:val="22"/>
        </w:rPr>
        <w:t xml:space="preserve">U pilířů P3, P4, P5 a P6 jsou </w:t>
      </w:r>
      <w:r w:rsidR="00E16E49">
        <w:rPr>
          <w:rFonts w:ascii="Arial" w:hAnsi="Arial" w:cs="Arial"/>
          <w:sz w:val="22"/>
          <w:szCs w:val="22"/>
        </w:rPr>
        <w:t xml:space="preserve">příčle </w:t>
      </w:r>
      <w:r>
        <w:rPr>
          <w:rFonts w:ascii="Arial" w:hAnsi="Arial" w:cs="Arial"/>
          <w:sz w:val="22"/>
          <w:szCs w:val="22"/>
        </w:rPr>
        <w:t xml:space="preserve">předepnuty pomocí svislých tyčí pro svislé předpětí a dále dodatečně předpjatými lany. Kotevní oblast těchto kabelů bude opatrně odbourána tak, aby nebyla poškozena betonářská výztuž spojující dobetonávku kotevní oblasti s vlastním pilířem. Kotvy dodatečného předpětí budou sanovány, bude odstraněna rez a budou natřeny pasivačním nátěrem, který zabrání degradaci kotev. Poté bude případně doplněna spřahující výztuž a kotevní oblast bude zabetonována. Součástí plnění je vypracování podrobného harmonogramu výstavby. </w:t>
      </w:r>
    </w:p>
    <w:p w:rsidR="00F36F8C" w:rsidRDefault="00F36F8C" w:rsidP="00F36F8C">
      <w:pPr>
        <w:ind w:left="426"/>
        <w:jc w:val="both"/>
        <w:rPr>
          <w:rFonts w:ascii="Arial" w:hAnsi="Arial" w:cs="Arial"/>
          <w:sz w:val="22"/>
          <w:szCs w:val="22"/>
        </w:rPr>
      </w:pPr>
    </w:p>
    <w:p w:rsidR="00F36F8C" w:rsidRDefault="00F36F8C" w:rsidP="00F36F8C">
      <w:pPr>
        <w:pStyle w:val="Zhlav"/>
        <w:tabs>
          <w:tab w:val="left" w:pos="426"/>
        </w:tabs>
        <w:spacing w:after="120"/>
        <w:ind w:left="426"/>
        <w:jc w:val="both"/>
        <w:rPr>
          <w:rFonts w:ascii="Arial" w:hAnsi="Arial" w:cs="Arial"/>
          <w:sz w:val="22"/>
          <w:szCs w:val="22"/>
        </w:rPr>
      </w:pPr>
      <w:r>
        <w:rPr>
          <w:rFonts w:ascii="Arial" w:hAnsi="Arial" w:cs="Arial"/>
          <w:sz w:val="22"/>
          <w:szCs w:val="22"/>
        </w:rPr>
        <w:t>Součástí předmětu plnění je:</w:t>
      </w:r>
    </w:p>
    <w:p w:rsidR="00F36F8C" w:rsidRDefault="00F36F8C" w:rsidP="005D3A60">
      <w:pPr>
        <w:pStyle w:val="Odstavecseseznamem"/>
        <w:numPr>
          <w:ilvl w:val="0"/>
          <w:numId w:val="20"/>
        </w:numPr>
        <w:tabs>
          <w:tab w:val="clear" w:pos="360"/>
          <w:tab w:val="num" w:pos="786"/>
        </w:tabs>
        <w:ind w:left="786"/>
        <w:rPr>
          <w:rFonts w:ascii="Arial" w:hAnsi="Arial" w:cs="Arial"/>
          <w:sz w:val="22"/>
          <w:szCs w:val="22"/>
        </w:rPr>
      </w:pPr>
      <w:r>
        <w:rPr>
          <w:rFonts w:ascii="Arial" w:hAnsi="Arial" w:cs="Arial"/>
          <w:sz w:val="22"/>
          <w:szCs w:val="22"/>
        </w:rPr>
        <w:t>dopracování a projednání DIO včetně žádosti a vydání DIR</w:t>
      </w:r>
    </w:p>
    <w:p w:rsidR="00F36F8C" w:rsidRPr="00E16E49" w:rsidRDefault="00F36F8C" w:rsidP="005D3A60">
      <w:pPr>
        <w:pStyle w:val="Odstavecseseznamem"/>
        <w:numPr>
          <w:ilvl w:val="0"/>
          <w:numId w:val="20"/>
        </w:numPr>
        <w:ind w:left="786"/>
        <w:rPr>
          <w:rFonts w:ascii="Arial" w:hAnsi="Arial" w:cs="Arial"/>
          <w:sz w:val="22"/>
          <w:szCs w:val="22"/>
        </w:rPr>
      </w:pPr>
      <w:r w:rsidRPr="00E16E49">
        <w:rPr>
          <w:rFonts w:ascii="Arial" w:hAnsi="Arial" w:cs="Arial"/>
          <w:sz w:val="22"/>
          <w:szCs w:val="22"/>
        </w:rPr>
        <w:t xml:space="preserve">vyhotovení realizační dokumentace (RDS), </w:t>
      </w:r>
    </w:p>
    <w:p w:rsidR="00F36F8C" w:rsidRPr="00E16E49" w:rsidRDefault="00F36F8C" w:rsidP="005D3A60">
      <w:pPr>
        <w:pStyle w:val="Odstavecseseznamem"/>
        <w:numPr>
          <w:ilvl w:val="0"/>
          <w:numId w:val="20"/>
        </w:numPr>
        <w:tabs>
          <w:tab w:val="num" w:pos="-3480"/>
        </w:tabs>
        <w:ind w:left="786"/>
        <w:rPr>
          <w:rFonts w:ascii="Arial" w:hAnsi="Arial" w:cs="Arial"/>
          <w:sz w:val="22"/>
          <w:szCs w:val="22"/>
        </w:rPr>
      </w:pPr>
      <w:r w:rsidRPr="00E16E49">
        <w:rPr>
          <w:rFonts w:ascii="Arial" w:hAnsi="Arial" w:cs="Arial"/>
          <w:sz w:val="22"/>
          <w:szCs w:val="22"/>
        </w:rPr>
        <w:t>zhotovení geometrických plánů po ukončení stavby,</w:t>
      </w:r>
    </w:p>
    <w:p w:rsidR="00F36F8C" w:rsidRDefault="00F36F8C" w:rsidP="005D3A60">
      <w:pPr>
        <w:pStyle w:val="Odstavecseseznamem"/>
        <w:numPr>
          <w:ilvl w:val="0"/>
          <w:numId w:val="20"/>
        </w:numPr>
        <w:tabs>
          <w:tab w:val="num" w:pos="-3000"/>
        </w:tabs>
        <w:ind w:left="786"/>
        <w:rPr>
          <w:rFonts w:ascii="Arial" w:hAnsi="Arial" w:cs="Arial"/>
          <w:sz w:val="22"/>
          <w:szCs w:val="22"/>
        </w:rPr>
      </w:pPr>
      <w:r w:rsidRPr="00E16E49">
        <w:rPr>
          <w:rFonts w:ascii="Arial" w:hAnsi="Arial" w:cs="Arial"/>
          <w:sz w:val="22"/>
          <w:szCs w:val="22"/>
        </w:rPr>
        <w:t>dokumentace skutečného provedení(DSPS), zaměření skutečného provedení v dig. formě (referenční systém Bpv), vč. potvrzení o jejím předání na</w:t>
      </w:r>
      <w:r>
        <w:rPr>
          <w:rFonts w:ascii="Arial" w:hAnsi="Arial" w:cs="Arial"/>
          <w:sz w:val="22"/>
          <w:szCs w:val="22"/>
        </w:rPr>
        <w:t xml:space="preserve"> Institut plánování a rozvoje hl.m. Prahy  (IPR Praha), </w:t>
      </w:r>
    </w:p>
    <w:p w:rsidR="00F36F8C" w:rsidRDefault="00F36F8C" w:rsidP="005D3A60">
      <w:pPr>
        <w:pStyle w:val="Odstavecseseznamem"/>
        <w:numPr>
          <w:ilvl w:val="0"/>
          <w:numId w:val="21"/>
        </w:numPr>
        <w:tabs>
          <w:tab w:val="num" w:pos="-2520"/>
        </w:tabs>
        <w:ind w:left="786"/>
        <w:rPr>
          <w:rFonts w:ascii="Arial" w:hAnsi="Arial" w:cs="Arial"/>
          <w:sz w:val="22"/>
          <w:szCs w:val="22"/>
        </w:rPr>
      </w:pPr>
      <w:r>
        <w:rPr>
          <w:rFonts w:ascii="Arial" w:hAnsi="Arial" w:cs="Arial"/>
          <w:sz w:val="22"/>
          <w:szCs w:val="22"/>
        </w:rPr>
        <w:t>zpracování podrobné pasportizace přilehlých objektů (domů, oplocení apod.) a následné  repasportizace po skončení stavby</w:t>
      </w:r>
    </w:p>
    <w:p w:rsidR="00F36F8C" w:rsidRDefault="00F36F8C" w:rsidP="005D3A60">
      <w:pPr>
        <w:pStyle w:val="Odstavecseseznamem"/>
        <w:numPr>
          <w:ilvl w:val="0"/>
          <w:numId w:val="20"/>
        </w:numPr>
        <w:tabs>
          <w:tab w:val="num" w:pos="-1560"/>
        </w:tabs>
        <w:ind w:left="786"/>
        <w:rPr>
          <w:rFonts w:ascii="Arial" w:hAnsi="Arial" w:cs="Arial"/>
          <w:sz w:val="22"/>
          <w:szCs w:val="22"/>
        </w:rPr>
      </w:pPr>
      <w:r>
        <w:rPr>
          <w:rFonts w:ascii="Arial" w:hAnsi="Arial" w:cs="Arial"/>
          <w:sz w:val="22"/>
          <w:szCs w:val="22"/>
        </w:rPr>
        <w:t>zajištění informování přímo dotčených fyzických a právnických osob o době trvání, místě a rozsahu prací prováděných na pozemní komunikaci, a to nejpozději 7 dní před zahájením prací,</w:t>
      </w:r>
    </w:p>
    <w:p w:rsidR="00F36F8C" w:rsidRDefault="00F36F8C" w:rsidP="005D3A60">
      <w:pPr>
        <w:pStyle w:val="Odstavecseseznamem"/>
        <w:numPr>
          <w:ilvl w:val="0"/>
          <w:numId w:val="20"/>
        </w:numPr>
        <w:tabs>
          <w:tab w:val="num" w:pos="-1080"/>
        </w:tabs>
        <w:ind w:left="786"/>
        <w:rPr>
          <w:rFonts w:ascii="Arial" w:hAnsi="Arial" w:cs="Arial"/>
          <w:sz w:val="22"/>
          <w:szCs w:val="22"/>
        </w:rPr>
      </w:pPr>
      <w:r>
        <w:rPr>
          <w:rFonts w:ascii="Arial" w:hAnsi="Arial" w:cs="Arial"/>
          <w:sz w:val="22"/>
          <w:szCs w:val="22"/>
        </w:rPr>
        <w:t>týdně aktualizovaný popis stavby a jejího průběhu umístěný na www.tsk-praha.cz,</w:t>
      </w:r>
    </w:p>
    <w:p w:rsidR="00F36F8C" w:rsidRDefault="00F36F8C" w:rsidP="005D3A60">
      <w:pPr>
        <w:pStyle w:val="Odstavecseseznamem"/>
        <w:numPr>
          <w:ilvl w:val="0"/>
          <w:numId w:val="20"/>
        </w:numPr>
        <w:tabs>
          <w:tab w:val="num" w:pos="-240"/>
        </w:tabs>
        <w:ind w:left="786"/>
        <w:rPr>
          <w:rFonts w:ascii="Arial" w:hAnsi="Arial" w:cs="Arial"/>
          <w:sz w:val="22"/>
          <w:szCs w:val="22"/>
        </w:rPr>
      </w:pPr>
      <w:r>
        <w:rPr>
          <w:rFonts w:ascii="Arial" w:hAnsi="Arial" w:cs="Arial"/>
          <w:sz w:val="22"/>
          <w:szCs w:val="22"/>
        </w:rPr>
        <w:t xml:space="preserve">zajištění umístění informačních tabulí MHMP dle přiloženého manuálu doplněných o QR kód odkazující na popis stavby na </w:t>
      </w:r>
      <w:hyperlink r:id="rId9" w:history="1">
        <w:r>
          <w:rPr>
            <w:rStyle w:val="Hypertextovodkaz"/>
            <w:rFonts w:ascii="Arial" w:eastAsiaTheme="majorEastAsia" w:hAnsi="Arial" w:cs="Arial"/>
            <w:sz w:val="22"/>
            <w:szCs w:val="22"/>
          </w:rPr>
          <w:t>www.tsk-praha.cz</w:t>
        </w:r>
      </w:hyperlink>
      <w:r>
        <w:rPr>
          <w:rFonts w:ascii="Arial" w:hAnsi="Arial" w:cs="Arial"/>
          <w:sz w:val="22"/>
          <w:szCs w:val="22"/>
        </w:rPr>
        <w:t>.</w:t>
      </w:r>
    </w:p>
    <w:p w:rsidR="00F36F8C" w:rsidRDefault="00F36F8C" w:rsidP="005D3A60">
      <w:pPr>
        <w:pStyle w:val="Odstavecseseznamem"/>
        <w:numPr>
          <w:ilvl w:val="0"/>
          <w:numId w:val="22"/>
        </w:numPr>
        <w:tabs>
          <w:tab w:val="num" w:pos="-240"/>
        </w:tabs>
        <w:ind w:left="783"/>
        <w:rPr>
          <w:rFonts w:ascii="Arial" w:hAnsi="Arial" w:cs="Arial"/>
          <w:sz w:val="22"/>
          <w:szCs w:val="22"/>
        </w:rPr>
      </w:pPr>
      <w:r>
        <w:rPr>
          <w:rFonts w:ascii="Arial" w:hAnsi="Arial" w:cs="Arial"/>
          <w:sz w:val="22"/>
          <w:szCs w:val="22"/>
        </w:rPr>
        <w:t>zajištění umístění informačních tabulí o omezení provozu dle přiloženého vzoru</w:t>
      </w:r>
    </w:p>
    <w:p w:rsidR="00F36F8C" w:rsidRDefault="00F36F8C" w:rsidP="005D3A60">
      <w:pPr>
        <w:numPr>
          <w:ilvl w:val="0"/>
          <w:numId w:val="20"/>
        </w:numPr>
        <w:tabs>
          <w:tab w:val="clear" w:pos="360"/>
          <w:tab w:val="num" w:pos="-4440"/>
          <w:tab w:val="num" w:pos="851"/>
        </w:tabs>
        <w:ind w:left="783"/>
        <w:rPr>
          <w:rFonts w:ascii="Arial" w:hAnsi="Arial" w:cs="Arial"/>
          <w:sz w:val="22"/>
          <w:szCs w:val="22"/>
        </w:rPr>
      </w:pPr>
      <w:r>
        <w:rPr>
          <w:rFonts w:ascii="Arial" w:hAnsi="Arial" w:cs="Arial"/>
          <w:sz w:val="22"/>
          <w:szCs w:val="22"/>
        </w:rPr>
        <w:t>1. hlavní mostní prohlídka provedená autorizovanou osobou s oprávněním tuto prohlídku provést,</w:t>
      </w:r>
    </w:p>
    <w:p w:rsidR="00F36F8C" w:rsidRDefault="00F36F8C" w:rsidP="005D3A60">
      <w:pPr>
        <w:numPr>
          <w:ilvl w:val="0"/>
          <w:numId w:val="20"/>
        </w:numPr>
        <w:tabs>
          <w:tab w:val="clear" w:pos="360"/>
          <w:tab w:val="num" w:pos="-4440"/>
          <w:tab w:val="num" w:pos="851"/>
        </w:tabs>
        <w:ind w:left="783"/>
        <w:rPr>
          <w:rFonts w:ascii="Arial" w:hAnsi="Arial" w:cs="Arial"/>
          <w:sz w:val="22"/>
          <w:szCs w:val="22"/>
        </w:rPr>
      </w:pPr>
      <w:r>
        <w:rPr>
          <w:rFonts w:ascii="Arial" w:hAnsi="Arial" w:cs="Arial"/>
          <w:sz w:val="22"/>
          <w:szCs w:val="22"/>
        </w:rPr>
        <w:t xml:space="preserve">aktualizace Mostního listu </w:t>
      </w:r>
    </w:p>
    <w:p w:rsidR="00F36F8C" w:rsidRDefault="00F36F8C" w:rsidP="005D3A60">
      <w:pPr>
        <w:numPr>
          <w:ilvl w:val="0"/>
          <w:numId w:val="20"/>
        </w:numPr>
        <w:tabs>
          <w:tab w:val="clear" w:pos="360"/>
          <w:tab w:val="num" w:pos="-4440"/>
          <w:tab w:val="num" w:pos="851"/>
        </w:tabs>
        <w:ind w:left="783"/>
        <w:rPr>
          <w:rFonts w:ascii="Arial" w:hAnsi="Arial" w:cs="Arial"/>
          <w:sz w:val="22"/>
          <w:szCs w:val="22"/>
        </w:rPr>
      </w:pPr>
      <w:r>
        <w:rPr>
          <w:rFonts w:ascii="Arial" w:hAnsi="Arial" w:cs="Arial"/>
          <w:sz w:val="22"/>
          <w:szCs w:val="22"/>
        </w:rPr>
        <w:t>zpracování Plánu správy a údržby.</w:t>
      </w:r>
    </w:p>
    <w:p w:rsidR="00BC7259" w:rsidRPr="00F02979" w:rsidRDefault="00BC7259" w:rsidP="00F36F8C">
      <w:pPr>
        <w:tabs>
          <w:tab w:val="num" w:pos="851"/>
        </w:tabs>
        <w:ind w:left="783"/>
        <w:jc w:val="both"/>
        <w:rPr>
          <w:rFonts w:ascii="Arial" w:hAnsi="Arial" w:cs="Arial"/>
          <w:sz w:val="22"/>
          <w:szCs w:val="22"/>
        </w:rPr>
      </w:pPr>
    </w:p>
    <w:p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rsidR="007C2F9F" w:rsidRPr="00F02979" w:rsidRDefault="007C2F9F" w:rsidP="00A24EA8">
      <w:pPr>
        <w:ind w:left="426"/>
        <w:rPr>
          <w:rFonts w:ascii="Arial" w:hAnsi="Arial" w:cs="Arial"/>
          <w:sz w:val="22"/>
          <w:szCs w:val="22"/>
        </w:rPr>
      </w:pPr>
    </w:p>
    <w:p w:rsidR="00F36F8C" w:rsidRDefault="009B0820" w:rsidP="00F36F8C">
      <w:pPr>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F36F8C">
        <w:rPr>
          <w:rFonts w:ascii="Arial" w:hAnsi="Arial" w:cs="Arial"/>
          <w:sz w:val="22"/>
          <w:szCs w:val="22"/>
        </w:rPr>
        <w:t>Barrandovský most, Praha 4 a Praha 5.</w:t>
      </w:r>
    </w:p>
    <w:p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Doba plnění</w:t>
      </w:r>
      <w:r w:rsidR="00B46AD0" w:rsidRPr="00F02979">
        <w:rPr>
          <w:rFonts w:ascii="Arial" w:hAnsi="Arial" w:cs="Arial"/>
          <w:sz w:val="22"/>
          <w:szCs w:val="22"/>
        </w:rPr>
        <w:t xml:space="preserve">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5D3A60">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rsidR="009B0820" w:rsidRPr="00F02979" w:rsidRDefault="009B0820" w:rsidP="00174BCA">
      <w:pPr>
        <w:ind w:left="426" w:hanging="426"/>
        <w:rPr>
          <w:rFonts w:ascii="Arial" w:hAnsi="Arial" w:cs="Arial"/>
          <w:sz w:val="22"/>
          <w:szCs w:val="22"/>
        </w:rPr>
      </w:pPr>
    </w:p>
    <w:p w:rsidR="009B0820" w:rsidRPr="00013085" w:rsidRDefault="009B0820" w:rsidP="005D3A60">
      <w:pPr>
        <w:pStyle w:val="Odstavecseseznamem"/>
        <w:numPr>
          <w:ilvl w:val="0"/>
          <w:numId w:val="16"/>
        </w:numPr>
        <w:ind w:left="426" w:hanging="426"/>
        <w:rPr>
          <w:rFonts w:ascii="Arial" w:hAnsi="Arial" w:cs="Arial"/>
          <w:i/>
          <w:iCs/>
          <w:sz w:val="22"/>
          <w:szCs w:val="22"/>
        </w:rPr>
      </w:pPr>
      <w:r w:rsidRPr="00013085">
        <w:rPr>
          <w:rFonts w:ascii="Arial" w:hAnsi="Arial" w:cs="Arial"/>
          <w:sz w:val="22"/>
          <w:szCs w:val="22"/>
        </w:rPr>
        <w:t>Termín dokončení</w:t>
      </w:r>
      <w:r w:rsidR="00964E34" w:rsidRPr="00013085">
        <w:rPr>
          <w:rFonts w:ascii="Arial" w:hAnsi="Arial" w:cs="Arial"/>
          <w:sz w:val="22"/>
          <w:szCs w:val="22"/>
        </w:rPr>
        <w:t xml:space="preserve"> </w:t>
      </w:r>
      <w:r w:rsidR="00013085" w:rsidRPr="00013085">
        <w:rPr>
          <w:rFonts w:ascii="Arial" w:hAnsi="Arial" w:cs="Arial"/>
          <w:sz w:val="22"/>
          <w:szCs w:val="22"/>
        </w:rPr>
        <w:t>s</w:t>
      </w:r>
      <w:r w:rsidR="00FA009C">
        <w:rPr>
          <w:rFonts w:ascii="Arial" w:hAnsi="Arial" w:cs="Arial"/>
          <w:sz w:val="22"/>
          <w:szCs w:val="22"/>
        </w:rPr>
        <w:t>t</w:t>
      </w:r>
      <w:r w:rsidR="00013085" w:rsidRPr="00013085">
        <w:rPr>
          <w:rFonts w:ascii="Arial" w:hAnsi="Arial" w:cs="Arial"/>
          <w:sz w:val="22"/>
          <w:szCs w:val="22"/>
        </w:rPr>
        <w:t>avebních prací</w:t>
      </w:r>
      <w:r w:rsidR="00964E34" w:rsidRPr="00013085">
        <w:rPr>
          <w:rFonts w:ascii="Arial" w:hAnsi="Arial" w:cs="Arial"/>
          <w:sz w:val="22"/>
          <w:szCs w:val="22"/>
        </w:rPr>
        <w:t xml:space="preserve"> </w:t>
      </w:r>
      <w:r w:rsidRPr="00013085">
        <w:rPr>
          <w:rFonts w:ascii="Arial" w:hAnsi="Arial" w:cs="Arial"/>
          <w:sz w:val="22"/>
          <w:szCs w:val="22"/>
        </w:rPr>
        <w:t xml:space="preserve">:  </w:t>
      </w:r>
      <w:r w:rsidRPr="00013085">
        <w:rPr>
          <w:rFonts w:ascii="Arial" w:hAnsi="Arial" w:cs="Arial"/>
          <w:i/>
          <w:iCs/>
          <w:sz w:val="22"/>
          <w:szCs w:val="22"/>
        </w:rPr>
        <w:t xml:space="preserve">  </w:t>
      </w:r>
      <w:r w:rsidRPr="00013085">
        <w:rPr>
          <w:rFonts w:ascii="Arial" w:hAnsi="Arial" w:cs="Arial"/>
          <w:i/>
          <w:iCs/>
          <w:sz w:val="22"/>
          <w:szCs w:val="22"/>
        </w:rPr>
        <w:tab/>
        <w:t xml:space="preserve"> </w:t>
      </w:r>
    </w:p>
    <w:p w:rsidR="00FE5CE4" w:rsidRPr="001F34F6" w:rsidRDefault="009B0820" w:rsidP="00841B76">
      <w:pPr>
        <w:pStyle w:val="Odstavecseseznamem"/>
        <w:ind w:left="426"/>
        <w:rPr>
          <w:rFonts w:ascii="Arial" w:hAnsi="Arial" w:cs="Arial"/>
          <w:sz w:val="22"/>
          <w:szCs w:val="22"/>
        </w:rPr>
      </w:pPr>
      <w:r w:rsidRPr="00F02979">
        <w:rPr>
          <w:rFonts w:ascii="Arial" w:hAnsi="Arial" w:cs="Arial"/>
          <w:sz w:val="22"/>
          <w:szCs w:val="22"/>
        </w:rPr>
        <w:t xml:space="preserve">Lhůta </w:t>
      </w:r>
      <w:r w:rsidRPr="001F34F6">
        <w:rPr>
          <w:rFonts w:ascii="Arial" w:hAnsi="Arial" w:cs="Arial"/>
          <w:sz w:val="22"/>
          <w:szCs w:val="22"/>
        </w:rPr>
        <w:t xml:space="preserve">výstavby uvedená v kalendářních dnech činí: </w:t>
      </w:r>
    </w:p>
    <w:p w:rsidR="00FE5CE4" w:rsidRDefault="00FE5CE4" w:rsidP="00841B76">
      <w:pPr>
        <w:pStyle w:val="Odstavecseseznamem"/>
        <w:ind w:left="426"/>
        <w:rPr>
          <w:rFonts w:ascii="Arial" w:hAnsi="Arial" w:cs="Arial"/>
          <w:sz w:val="22"/>
          <w:szCs w:val="22"/>
        </w:rPr>
      </w:pPr>
    </w:p>
    <w:p w:rsidR="00013085" w:rsidRPr="001F34F6" w:rsidRDefault="00013085" w:rsidP="00841B76">
      <w:pPr>
        <w:pStyle w:val="Odstavecseseznamem"/>
        <w:ind w:left="426"/>
        <w:rPr>
          <w:rFonts w:ascii="Arial" w:hAnsi="Arial" w:cs="Arial"/>
          <w:sz w:val="22"/>
          <w:szCs w:val="22"/>
        </w:rPr>
      </w:pPr>
      <w:r>
        <w:rPr>
          <w:rFonts w:ascii="Arial" w:hAnsi="Arial" w:cs="Arial"/>
          <w:sz w:val="22"/>
          <w:szCs w:val="22"/>
        </w:rPr>
        <w:t xml:space="preserve">Termín dokončení díla: </w:t>
      </w:r>
    </w:p>
    <w:p w:rsidR="00B46AD0" w:rsidRPr="001F34F6" w:rsidRDefault="00B46AD0" w:rsidP="00841B76">
      <w:pPr>
        <w:pStyle w:val="Odstavecseseznamem"/>
        <w:spacing w:before="120"/>
        <w:ind w:left="425"/>
        <w:contextualSpacing w:val="0"/>
        <w:jc w:val="both"/>
        <w:outlineLvl w:val="1"/>
        <w:rPr>
          <w:rFonts w:ascii="Arial" w:hAnsi="Arial" w:cs="Arial"/>
          <w:bCs/>
          <w:sz w:val="22"/>
          <w:szCs w:val="22"/>
        </w:rPr>
      </w:pPr>
      <w:r w:rsidRPr="001F34F6">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1F34F6" w:rsidRDefault="00B46AD0" w:rsidP="00174BCA">
      <w:pPr>
        <w:tabs>
          <w:tab w:val="num" w:pos="426"/>
        </w:tabs>
        <w:ind w:left="426" w:hanging="426"/>
        <w:jc w:val="both"/>
        <w:outlineLvl w:val="1"/>
        <w:rPr>
          <w:rFonts w:ascii="Arial" w:hAnsi="Arial" w:cs="Arial"/>
          <w:bCs/>
          <w:sz w:val="22"/>
          <w:szCs w:val="22"/>
        </w:rPr>
      </w:pPr>
    </w:p>
    <w:p w:rsidR="00B46AD0" w:rsidRPr="001F34F6" w:rsidRDefault="00251C13" w:rsidP="00FA5A47">
      <w:pPr>
        <w:pStyle w:val="Odstavecseseznamem"/>
        <w:numPr>
          <w:ilvl w:val="0"/>
          <w:numId w:val="16"/>
        </w:numPr>
        <w:ind w:left="426" w:hanging="426"/>
        <w:jc w:val="both"/>
        <w:outlineLvl w:val="1"/>
        <w:rPr>
          <w:rFonts w:ascii="Arial" w:hAnsi="Arial" w:cs="Arial"/>
          <w:sz w:val="22"/>
          <w:szCs w:val="22"/>
        </w:rPr>
      </w:pPr>
      <w:r w:rsidRPr="001F34F6">
        <w:rPr>
          <w:rFonts w:ascii="Arial" w:hAnsi="Arial" w:cs="Arial"/>
          <w:sz w:val="22"/>
          <w:szCs w:val="22"/>
        </w:rPr>
        <w:t>Zhotovitel</w:t>
      </w:r>
      <w:r w:rsidR="00B46AD0" w:rsidRPr="001F34F6">
        <w:rPr>
          <w:rFonts w:ascii="Arial" w:hAnsi="Arial" w:cs="Arial"/>
          <w:sz w:val="22"/>
          <w:szCs w:val="22"/>
        </w:rPr>
        <w:t xml:space="preserve"> se zavazuje při provádění díla postupovat řádně a efektivně, aby bylo dílo provedeno dle vydaného stavebního povolení.</w:t>
      </w:r>
    </w:p>
    <w:p w:rsidR="009F136C" w:rsidRPr="001F34F6" w:rsidRDefault="009F136C" w:rsidP="009F136C">
      <w:pPr>
        <w:pStyle w:val="Odstavecseseznamem"/>
        <w:ind w:left="426"/>
        <w:outlineLvl w:val="1"/>
        <w:rPr>
          <w:rFonts w:ascii="Arial" w:hAnsi="Arial" w:cs="Arial"/>
          <w:sz w:val="22"/>
          <w:szCs w:val="22"/>
        </w:rPr>
      </w:pPr>
    </w:p>
    <w:p w:rsidR="009C6F5D" w:rsidRPr="009C6F5D" w:rsidRDefault="009C6F5D" w:rsidP="005D3A60">
      <w:pPr>
        <w:pStyle w:val="Odstavecseseznamem"/>
        <w:numPr>
          <w:ilvl w:val="0"/>
          <w:numId w:val="16"/>
        </w:numPr>
        <w:ind w:left="426" w:hanging="426"/>
        <w:jc w:val="both"/>
        <w:outlineLvl w:val="1"/>
        <w:rPr>
          <w:rFonts w:ascii="Arial" w:hAnsi="Arial" w:cs="Arial"/>
          <w:sz w:val="22"/>
          <w:szCs w:val="22"/>
        </w:rPr>
      </w:pPr>
      <w:r w:rsidRPr="009C6F5D">
        <w:rPr>
          <w:rFonts w:ascii="Arial" w:hAnsi="Arial" w:cs="Arial"/>
          <w:sz w:val="22"/>
          <w:szCs w:val="22"/>
        </w:rPr>
        <w:t>V případě stavebních prací, které vyžadují omezení dopravy (Modřanská ulice - sanace 2. pilíře v roce 2021),  zhotovitel zajistí, aby tyto práce probíhaly ve dvousměnném pracovním režimu. Této podmínce bude odpovídat i navržený harmonogram provádění prací a na to navázaný finanční harmonogram</w:t>
      </w:r>
    </w:p>
    <w:p w:rsidR="009F136C" w:rsidRPr="00F02979" w:rsidRDefault="009F136C" w:rsidP="009F136C">
      <w:pPr>
        <w:pStyle w:val="Odstavecseseznamem"/>
        <w:rPr>
          <w:rFonts w:ascii="Arial" w:hAnsi="Arial" w:cs="Arial"/>
          <w:sz w:val="22"/>
          <w:szCs w:val="22"/>
        </w:rPr>
      </w:pPr>
    </w:p>
    <w:p w:rsidR="009F136C" w:rsidRPr="00F02979" w:rsidRDefault="009F136C" w:rsidP="005D3A60">
      <w:pPr>
        <w:pStyle w:val="Odstavecseseznamem"/>
        <w:numPr>
          <w:ilvl w:val="0"/>
          <w:numId w:val="16"/>
        </w:numPr>
        <w:ind w:left="426" w:hanging="426"/>
        <w:outlineLvl w:val="1"/>
        <w:rPr>
          <w:rFonts w:ascii="Arial" w:hAnsi="Arial" w:cs="Arial"/>
          <w:sz w:val="22"/>
          <w:szCs w:val="22"/>
        </w:rPr>
      </w:pPr>
      <w:r w:rsidRPr="00F02979">
        <w:rPr>
          <w:rFonts w:ascii="Arial" w:hAnsi="Arial" w:cs="Arial"/>
          <w:sz w:val="22"/>
          <w:szCs w:val="22"/>
        </w:rPr>
        <w:t>Zhotovitel se zavazuje, že při provádění prací bude dodržovat hygienické předpisy.</w:t>
      </w:r>
    </w:p>
    <w:p w:rsidR="007C2F9F" w:rsidRDefault="007C2F9F" w:rsidP="007C2F9F">
      <w:pPr>
        <w:pStyle w:val="Odstavecseseznamem"/>
        <w:ind w:left="426"/>
        <w:outlineLvl w:val="1"/>
        <w:rPr>
          <w:rFonts w:ascii="Arial" w:hAnsi="Arial" w:cs="Arial"/>
          <w:sz w:val="22"/>
          <w:szCs w:val="22"/>
        </w:rPr>
      </w:pPr>
    </w:p>
    <w:p w:rsidR="00A12C3A" w:rsidRDefault="00A12C3A" w:rsidP="007C2F9F">
      <w:pPr>
        <w:pStyle w:val="Odstavecseseznamem"/>
        <w:ind w:left="426"/>
        <w:outlineLvl w:val="1"/>
        <w:rPr>
          <w:rFonts w:ascii="Arial" w:hAnsi="Arial" w:cs="Arial"/>
          <w:sz w:val="22"/>
          <w:szCs w:val="22"/>
        </w:rPr>
      </w:pPr>
    </w:p>
    <w:p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lastRenderedPageBreak/>
        <w:t>Cena za zhotovení díla v rozsahu čl. II. této smlouvy je stanovena pevnou cenou, jako nejvýše přípustná, zahrnující všechny náklady související s kompletním zhotovením díla.</w:t>
      </w:r>
    </w:p>
    <w:p w:rsidR="009B0820" w:rsidRPr="00F02979" w:rsidRDefault="009B0820">
      <w:pPr>
        <w:ind w:left="360"/>
        <w:jc w:val="both"/>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F02979">
        <w:rPr>
          <w:rFonts w:ascii="Arial" w:hAnsi="Arial" w:cs="Arial"/>
          <w:sz w:val="22"/>
          <w:szCs w:val="22"/>
        </w:rPr>
        <w:t> </w:t>
      </w:r>
    </w:p>
    <w:p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rsidR="00B47FC9" w:rsidRPr="00F02979" w:rsidRDefault="00B47FC9">
      <w:pPr>
        <w:pStyle w:val="Nadpis2"/>
        <w:rPr>
          <w:rFonts w:ascii="Arial" w:hAnsi="Arial" w:cs="Arial"/>
          <w:b w:val="0"/>
          <w:bCs/>
          <w:sz w:val="22"/>
          <w:szCs w:val="22"/>
        </w:rPr>
      </w:pPr>
    </w:p>
    <w:p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 xml:space="preserve">e, zpracování dokumentace skutečného provedení díla ve 3 vyhotoveních, včetně geodetického zaměření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 xml:space="preserve">aných konstrukcí a hmot. </w:t>
      </w:r>
    </w:p>
    <w:p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rsidR="006923EA" w:rsidRPr="00F02979" w:rsidRDefault="00251C13" w:rsidP="00AF3599">
      <w:pPr>
        <w:pStyle w:val="Odstavecseseznamem"/>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t>Zhotovitel</w:t>
      </w:r>
      <w:r w:rsidR="006923EA" w:rsidRPr="00F02979">
        <w:rPr>
          <w:rFonts w:ascii="Arial" w:hAnsi="Arial" w:cs="Arial"/>
          <w:sz w:val="22"/>
          <w:szCs w:val="22"/>
        </w:rPr>
        <w:t xml:space="preserve"> nese nebezpečí změny okolností ve smyslu ust. § 2620 odst. 2 občanského zákoníku.</w:t>
      </w:r>
    </w:p>
    <w:p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F02979" w:rsidRDefault="009B0820">
      <w:pPr>
        <w:pStyle w:val="Zkladnt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rsidR="00130ADB" w:rsidRPr="001F34F6"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rsidR="00D74A41" w:rsidRPr="00BB14F3" w:rsidRDefault="00130ADB" w:rsidP="005D3A60">
      <w:pPr>
        <w:pStyle w:val="rovezanadpis"/>
        <w:numPr>
          <w:ilvl w:val="0"/>
          <w:numId w:val="18"/>
        </w:numPr>
        <w:tabs>
          <w:tab w:val="clear" w:pos="709"/>
          <w:tab w:val="left" w:pos="426"/>
        </w:tabs>
        <w:spacing w:before="120" w:after="0" w:line="240" w:lineRule="auto"/>
        <w:ind w:left="426"/>
        <w:rPr>
          <w:rFonts w:ascii="Arial" w:hAnsi="Arial"/>
        </w:rPr>
      </w:pPr>
      <w:r w:rsidRPr="001F34F6">
        <w:rPr>
          <w:rFonts w:ascii="Arial" w:hAnsi="Arial"/>
          <w:color w:val="auto"/>
        </w:rPr>
        <w:t xml:space="preserve">Zhotovitel je oprávněn fakturovat až do výše 90 % z celkové ceny díla. Pozastávku ve výši 10 % uvolní objednatel až po konečném převzetí díla, na základě protokolu o předání a </w:t>
      </w:r>
      <w:r w:rsidRPr="001F34F6">
        <w:rPr>
          <w:rFonts w:ascii="Arial" w:hAnsi="Arial"/>
          <w:color w:val="auto"/>
        </w:rPr>
        <w:lastRenderedPageBreak/>
        <w:t>převzetí díla a po odstranění všech vad a nedodělků, a to včetně těch, které nebrání řádnému užívání díla.</w:t>
      </w:r>
      <w:r w:rsidR="002C1C7F" w:rsidRPr="001F34F6">
        <w:rPr>
          <w:rFonts w:ascii="Arial" w:hAnsi="Arial"/>
          <w:color w:val="auto"/>
        </w:rPr>
        <w:t xml:space="preserve"> Zároveň bude pozastávka uvolněna po předání kompletních podkladů pro aktivaci investiční akce do majetku MHMP dle požadavků </w:t>
      </w:r>
      <w:r w:rsidR="00B644A2" w:rsidRPr="001F34F6">
        <w:rPr>
          <w:rFonts w:ascii="Arial" w:hAnsi="Arial"/>
          <w:color w:val="auto"/>
        </w:rPr>
        <w:t>TDS</w:t>
      </w:r>
      <w:r w:rsidR="00740755" w:rsidRPr="001F34F6">
        <w:rPr>
          <w:rFonts w:ascii="Arial" w:hAnsi="Arial"/>
          <w:color w:val="auto"/>
        </w:rPr>
        <w:t>.</w:t>
      </w:r>
      <w:r w:rsidR="00B256DA" w:rsidRPr="00BB14F3">
        <w:rPr>
          <w:rFonts w:ascii="Arial" w:hAnsi="Arial"/>
        </w:rPr>
        <w:tab/>
      </w:r>
      <w:r w:rsidR="00B256DA" w:rsidRPr="00BB14F3">
        <w:rPr>
          <w:rFonts w:ascii="Arial" w:hAnsi="Arial"/>
        </w:rPr>
        <w:tab/>
      </w:r>
      <w:r w:rsidR="00B256DA" w:rsidRPr="00BB14F3">
        <w:rPr>
          <w:rFonts w:ascii="Arial" w:hAnsi="Arial"/>
        </w:rPr>
        <w:tab/>
      </w:r>
      <w:r w:rsidR="00B256DA" w:rsidRPr="00BB14F3">
        <w:rPr>
          <w:rFonts w:ascii="Arial" w:hAnsi="Arial"/>
        </w:rPr>
        <w:tab/>
      </w:r>
    </w:p>
    <w:p w:rsidR="00A24250" w:rsidRDefault="00A24250" w:rsidP="00D14BA0">
      <w:pPr>
        <w:pStyle w:val="Nadpis2"/>
        <w:spacing w:before="360"/>
        <w:jc w:val="center"/>
        <w:rPr>
          <w:rFonts w:ascii="Arial" w:hAnsi="Arial" w:cs="Arial"/>
          <w:sz w:val="22"/>
          <w:szCs w:val="22"/>
        </w:rPr>
      </w:pPr>
    </w:p>
    <w:p w:rsidR="009B0820" w:rsidRPr="00F02979" w:rsidRDefault="009B0820" w:rsidP="00D14BA0">
      <w:pPr>
        <w:pStyle w:val="Nadpis2"/>
        <w:spacing w:before="360"/>
        <w:jc w:val="center"/>
        <w:rPr>
          <w:rFonts w:ascii="Arial" w:hAnsi="Arial" w:cs="Arial"/>
          <w:sz w:val="22"/>
          <w:szCs w:val="22"/>
        </w:rPr>
      </w:pPr>
      <w:bookmarkStart w:id="0" w:name="_GoBack"/>
      <w:bookmarkEnd w:id="0"/>
      <w:r w:rsidRPr="00BB14F3">
        <w:rPr>
          <w:rFonts w:ascii="Arial" w:hAnsi="Arial" w:cs="Arial"/>
          <w:sz w:val="22"/>
          <w:szCs w:val="22"/>
        </w:rPr>
        <w:t>VI.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rsidR="00902F1A" w:rsidRPr="00F02979" w:rsidRDefault="00902F1A" w:rsidP="00902F1A">
      <w:pPr>
        <w:ind w:left="720"/>
        <w:jc w:val="both"/>
        <w:rPr>
          <w:rFonts w:ascii="Arial" w:hAnsi="Arial" w:cs="Arial"/>
          <w:sz w:val="22"/>
          <w:szCs w:val="22"/>
        </w:rPr>
      </w:pPr>
    </w:p>
    <w:p w:rsidR="006979FA" w:rsidRPr="00F02979" w:rsidRDefault="00F2193C" w:rsidP="005D3A60">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rsidR="00B47FC9" w:rsidRPr="00B47FC9" w:rsidRDefault="00B47FC9" w:rsidP="005D3A60">
      <w:pPr>
        <w:pStyle w:val="Odstavecseseznamem"/>
        <w:numPr>
          <w:ilvl w:val="0"/>
          <w:numId w:val="19"/>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02979" w:rsidRDefault="0008297B" w:rsidP="0008297B">
      <w:pPr>
        <w:pStyle w:val="Odstavecseseznamem"/>
        <w:ind w:left="360"/>
        <w:jc w:val="both"/>
        <w:rPr>
          <w:rFonts w:ascii="Arial" w:hAnsi="Arial" w:cs="Arial"/>
          <w:sz w:val="22"/>
          <w:szCs w:val="22"/>
        </w:rPr>
      </w:pPr>
    </w:p>
    <w:p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lastRenderedPageBreak/>
        <w:t>Záznamy o průběhu prací, kontrolách přejímání prací a všech dalších skutečnostech budou zapisovány denně.</w:t>
      </w:r>
    </w:p>
    <w:p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rsidR="00B47FC9" w:rsidRPr="00F02979" w:rsidRDefault="00B47FC9" w:rsidP="000E332D">
      <w:pPr>
        <w:pStyle w:val="Nadpis2"/>
        <w:spacing w:before="120"/>
        <w:jc w:val="center"/>
        <w:rPr>
          <w:rFonts w:ascii="Arial" w:hAnsi="Arial" w:cs="Arial"/>
          <w:sz w:val="22"/>
          <w:szCs w:val="22"/>
        </w:rPr>
      </w:pPr>
    </w:p>
    <w:p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t>VIII.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rsidR="009B0820" w:rsidRPr="00F02979" w:rsidRDefault="009B0820" w:rsidP="00FC169D">
      <w:pPr>
        <w:ind w:left="360" w:hanging="360"/>
        <w:jc w:val="both"/>
        <w:rPr>
          <w:rFonts w:ascii="Arial" w:hAnsi="Arial" w:cs="Arial"/>
          <w:sz w:val="22"/>
          <w:szCs w:val="22"/>
        </w:rPr>
      </w:pP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F02979" w:rsidRDefault="009B0820">
      <w:pPr>
        <w:ind w:left="420"/>
        <w:jc w:val="both"/>
        <w:rPr>
          <w:rFonts w:ascii="Arial" w:hAnsi="Arial" w:cs="Arial"/>
          <w:sz w:val="22"/>
          <w:szCs w:val="22"/>
        </w:rPr>
      </w:pPr>
    </w:p>
    <w:p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F02979" w:rsidRDefault="009B0820">
      <w:pPr>
        <w:jc w:val="both"/>
        <w:rPr>
          <w:rFonts w:ascii="Arial" w:hAnsi="Arial" w:cs="Arial"/>
          <w:sz w:val="22"/>
          <w:szCs w:val="22"/>
        </w:rPr>
      </w:pPr>
    </w:p>
    <w:p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lastRenderedPageBreak/>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v počtu 3 paré</w:t>
      </w:r>
    </w:p>
    <w:p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r w:rsidR="002C3CC7" w:rsidRPr="00F02979">
        <w:rPr>
          <w:rFonts w:ascii="Arial" w:hAnsi="Arial" w:cs="Arial"/>
          <w:sz w:val="22"/>
          <w:szCs w:val="22"/>
        </w:rPr>
        <w:t>inf. rozvoje a GIS</w:t>
      </w:r>
      <w:r w:rsidRPr="00F02979">
        <w:rPr>
          <w:rFonts w:ascii="Arial" w:hAnsi="Arial" w:cs="Arial"/>
          <w:sz w:val="22"/>
          <w:szCs w:val="22"/>
        </w:rPr>
        <w:t>)</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vyjádření správců inž. sítí</w:t>
      </w:r>
    </w:p>
    <w:p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w:t>
      </w:r>
      <w:r w:rsidR="003B40CE">
        <w:rPr>
          <w:rFonts w:ascii="Arial" w:hAnsi="Arial" w:cs="Arial"/>
          <w:sz w:val="22"/>
          <w:szCs w:val="22"/>
        </w:rPr>
        <w:t>S</w:t>
      </w:r>
    </w:p>
    <w:p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t>IX.</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w:t>
      </w:r>
      <w:r w:rsidR="00253336" w:rsidRPr="00E16E49">
        <w:rPr>
          <w:rFonts w:ascii="Arial" w:hAnsi="Arial" w:cs="Arial"/>
          <w:sz w:val="22"/>
          <w:szCs w:val="22"/>
        </w:rPr>
        <w:t xml:space="preserve">36 měsíců na </w:t>
      </w:r>
      <w:r w:rsidR="00A12C3A" w:rsidRPr="00E16E49">
        <w:rPr>
          <w:rFonts w:ascii="Arial" w:hAnsi="Arial" w:cs="Arial"/>
          <w:sz w:val="22"/>
          <w:szCs w:val="22"/>
        </w:rPr>
        <w:t>technologie</w:t>
      </w:r>
      <w:r w:rsidR="00253336" w:rsidRPr="00E16E49">
        <w:rPr>
          <w:rFonts w:ascii="Arial" w:hAnsi="Arial" w:cs="Arial"/>
          <w:sz w:val="22"/>
          <w:szCs w:val="22"/>
        </w:rPr>
        <w:t xml:space="preserve">. </w:t>
      </w:r>
      <w:r w:rsidRPr="00E16E49">
        <w:rPr>
          <w:rFonts w:ascii="Arial" w:hAnsi="Arial" w:cs="Arial"/>
          <w:sz w:val="22"/>
          <w:szCs w:val="22"/>
        </w:rPr>
        <w:t>Záruční doba počíná běžet dnem předáním a převzetím díla nebo jednotlivé</w:t>
      </w:r>
      <w:r w:rsidRPr="00BB14F3">
        <w:rPr>
          <w:rFonts w:ascii="Arial" w:hAnsi="Arial" w:cs="Arial"/>
          <w:sz w:val="22"/>
          <w:szCs w:val="22"/>
        </w:rPr>
        <w:t xml:space="preserve"> části díla v případě převzetí díla po částech.</w:t>
      </w:r>
    </w:p>
    <w:p w:rsidR="00FC169D" w:rsidRPr="00F02979" w:rsidRDefault="00FC169D" w:rsidP="00FC169D">
      <w:pPr>
        <w:ind w:left="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F02979" w:rsidRDefault="00FC169D" w:rsidP="00FC169D">
      <w:pPr>
        <w:pStyle w:val="Odstavecseseznamem"/>
        <w:ind w:left="3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rsidR="00FC169D" w:rsidRPr="00F02979" w:rsidRDefault="00FC169D" w:rsidP="00FC169D">
      <w:pPr>
        <w:pStyle w:val="Odstavecseseznamem"/>
        <w:rPr>
          <w:rFonts w:ascii="Arial" w:hAnsi="Arial" w:cs="Arial"/>
          <w:sz w:val="22"/>
          <w:szCs w:val="22"/>
        </w:rPr>
      </w:pPr>
    </w:p>
    <w:p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rsidR="00B47FC9" w:rsidRPr="00B47FC9" w:rsidRDefault="00B47FC9" w:rsidP="00B47FC9">
      <w:pPr>
        <w:pStyle w:val="Odstavecseseznamem"/>
        <w:rPr>
          <w:rFonts w:ascii="Arial" w:hAnsi="Arial" w:cs="Arial"/>
          <w:sz w:val="22"/>
          <w:szCs w:val="22"/>
        </w:rPr>
      </w:pPr>
    </w:p>
    <w:p w:rsidR="00740755" w:rsidRDefault="00740755"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rsidR="007D5620" w:rsidRPr="00F02979" w:rsidRDefault="007D5620">
      <w:pPr>
        <w:pStyle w:val="Nadpis2"/>
        <w:jc w:val="center"/>
        <w:rPr>
          <w:rFonts w:ascii="Arial" w:hAnsi="Arial" w:cs="Arial"/>
          <w:sz w:val="22"/>
          <w:szCs w:val="22"/>
        </w:rPr>
      </w:pPr>
    </w:p>
    <w:p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lastRenderedPageBreak/>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rsidR="00BD2417" w:rsidRPr="00F02979" w:rsidRDefault="00E21C7A" w:rsidP="005D3A60">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10"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rsidR="009B0820" w:rsidRPr="00F02979" w:rsidRDefault="009B0820" w:rsidP="00ED4FB2">
      <w:pPr>
        <w:ind w:left="426" w:hanging="426"/>
        <w:rPr>
          <w:rFonts w:ascii="Arial" w:hAnsi="Arial" w:cs="Arial"/>
          <w:sz w:val="22"/>
          <w:szCs w:val="22"/>
        </w:rPr>
      </w:pP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F02979" w:rsidRDefault="009B0820" w:rsidP="00ED4FB2">
      <w:pPr>
        <w:ind w:left="426" w:hanging="426"/>
        <w:rPr>
          <w:rFonts w:ascii="Arial" w:hAnsi="Arial" w:cs="Arial"/>
          <w:sz w:val="22"/>
          <w:szCs w:val="22"/>
        </w:rPr>
      </w:pPr>
    </w:p>
    <w:p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rsidR="009F136C" w:rsidRPr="00F02979" w:rsidRDefault="009F136C" w:rsidP="00D25DBC">
      <w:pPr>
        <w:ind w:left="426" w:hanging="426"/>
        <w:jc w:val="both"/>
        <w:rPr>
          <w:rFonts w:ascii="Arial" w:hAnsi="Arial" w:cs="Arial"/>
          <w:sz w:val="22"/>
          <w:szCs w:val="22"/>
        </w:rPr>
      </w:pPr>
    </w:p>
    <w:p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 xml:space="preserve">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w:t>
      </w:r>
      <w:r w:rsidRPr="00F02979">
        <w:rPr>
          <w:rFonts w:ascii="Arial" w:hAnsi="Arial" w:cs="Arial"/>
          <w:sz w:val="22"/>
          <w:szCs w:val="22"/>
        </w:rPr>
        <w:lastRenderedPageBreak/>
        <w:t>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rsidR="009B0820" w:rsidRPr="00F02979"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 xml:space="preserve">objednatele. </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Při </w:t>
      </w:r>
      <w:r w:rsidR="008215E4" w:rsidRPr="00F02979">
        <w:rPr>
          <w:rFonts w:cs="Arial"/>
          <w:sz w:val="22"/>
          <w:szCs w:val="22"/>
        </w:rPr>
        <w:t xml:space="preserve">přerušení </w:t>
      </w:r>
      <w:r w:rsidRPr="00F02979">
        <w:rPr>
          <w:rFonts w:cs="Arial"/>
          <w:sz w:val="22"/>
          <w:szCs w:val="22"/>
        </w:rPr>
        <w:t xml:space="preserve">nebo zastavení prací na díle z důvodů na straně objednatele zaplatí objednatel </w:t>
      </w:r>
      <w:r w:rsidR="00251C13" w:rsidRPr="00F02979">
        <w:rPr>
          <w:rFonts w:cs="Arial"/>
          <w:sz w:val="22"/>
          <w:szCs w:val="22"/>
        </w:rPr>
        <w:t>zhotovitel</w:t>
      </w:r>
      <w:r w:rsidRPr="00F02979">
        <w:rPr>
          <w:rFonts w:cs="Arial"/>
          <w:sz w:val="22"/>
          <w:szCs w:val="22"/>
        </w:rPr>
        <w:t>i skutečně vynaložené náklady s tím spojené.</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škody vzniklé při provádění díla objednateli nebo třetím osobám</w:t>
      </w:r>
      <w:r w:rsidR="00596D1C" w:rsidRPr="00F02979">
        <w:rPr>
          <w:rFonts w:cs="Arial"/>
          <w:sz w:val="22"/>
          <w:szCs w:val="22"/>
        </w:rPr>
        <w:t>.</w:t>
      </w:r>
      <w:r w:rsidR="009B0820" w:rsidRPr="00F02979">
        <w:rPr>
          <w:rFonts w:cs="Arial"/>
          <w:sz w:val="22"/>
          <w:szCs w:val="22"/>
        </w:rPr>
        <w:t xml:space="preserve"> </w:t>
      </w:r>
    </w:p>
    <w:p w:rsidR="00596D1C" w:rsidRPr="00F02979" w:rsidRDefault="00251C13"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Zhotovitel</w:t>
      </w:r>
      <w:r w:rsidR="00596D1C" w:rsidRPr="00F02979">
        <w:rPr>
          <w:rFonts w:ascii="Arial" w:hAnsi="Arial" w:cs="Arial"/>
          <w:sz w:val="22"/>
          <w:szCs w:val="22"/>
        </w:rPr>
        <w:t xml:space="preserve"> uvádí v příloze smlouvy seznam svých </w:t>
      </w:r>
      <w:r w:rsidR="00180DD5" w:rsidRPr="00F02979">
        <w:rPr>
          <w:rFonts w:ascii="Arial" w:hAnsi="Arial" w:cs="Arial"/>
          <w:sz w:val="22"/>
          <w:szCs w:val="22"/>
        </w:rPr>
        <w:t>pod</w:t>
      </w:r>
      <w:r w:rsidRPr="00F02979">
        <w:rPr>
          <w:rFonts w:ascii="Arial" w:hAnsi="Arial" w:cs="Arial"/>
          <w:sz w:val="22"/>
          <w:szCs w:val="22"/>
        </w:rPr>
        <w:t>dodavatelů</w:t>
      </w:r>
      <w:r w:rsidR="00180DD5" w:rsidRPr="00F02979">
        <w:rPr>
          <w:rFonts w:ascii="Arial" w:hAnsi="Arial" w:cs="Arial"/>
          <w:sz w:val="22"/>
          <w:szCs w:val="22"/>
        </w:rPr>
        <w:t xml:space="preserve"> nad 5</w:t>
      </w:r>
      <w:r w:rsidR="00543593" w:rsidRPr="00F02979">
        <w:rPr>
          <w:rFonts w:ascii="Arial" w:hAnsi="Arial" w:cs="Arial"/>
          <w:sz w:val="22"/>
          <w:szCs w:val="22"/>
        </w:rPr>
        <w:t xml:space="preserve"> </w:t>
      </w:r>
      <w:r w:rsidR="00180DD5" w:rsidRPr="00F02979">
        <w:rPr>
          <w:rFonts w:ascii="Arial" w:hAnsi="Arial" w:cs="Arial"/>
          <w:sz w:val="22"/>
          <w:szCs w:val="22"/>
        </w:rPr>
        <w:t>% objemu prací z celkové ceny díla.</w:t>
      </w:r>
      <w:r w:rsidR="00596D1C" w:rsidRPr="00F02979">
        <w:rPr>
          <w:rFonts w:ascii="Arial" w:hAnsi="Arial" w:cs="Arial"/>
          <w:sz w:val="22"/>
          <w:szCs w:val="22"/>
        </w:rPr>
        <w:t xml:space="preserve"> </w:t>
      </w:r>
      <w:r w:rsidRPr="00F02979">
        <w:rPr>
          <w:rFonts w:ascii="Arial" w:hAnsi="Arial" w:cs="Arial"/>
          <w:sz w:val="22"/>
          <w:szCs w:val="22"/>
        </w:rPr>
        <w:t>Zhotovitel</w:t>
      </w:r>
      <w:r w:rsidR="00596D1C" w:rsidRPr="00F02979">
        <w:rPr>
          <w:rFonts w:ascii="Arial" w:hAnsi="Arial" w:cs="Arial"/>
          <w:sz w:val="22"/>
          <w:szCs w:val="22"/>
        </w:rPr>
        <w:t xml:space="preserve"> se zavazuje v případě zájmu o zadání prací </w:t>
      </w:r>
      <w:r w:rsidR="00180DD5" w:rsidRPr="00F02979">
        <w:rPr>
          <w:rFonts w:ascii="Arial" w:hAnsi="Arial" w:cs="Arial"/>
          <w:sz w:val="22"/>
          <w:szCs w:val="22"/>
        </w:rPr>
        <w:t>pod</w:t>
      </w:r>
      <w:r w:rsidRPr="00F02979">
        <w:rPr>
          <w:rFonts w:ascii="Arial" w:hAnsi="Arial" w:cs="Arial"/>
          <w:sz w:val="22"/>
          <w:szCs w:val="22"/>
        </w:rPr>
        <w:t>dodavateli</w:t>
      </w:r>
      <w:r w:rsidR="00596D1C" w:rsidRPr="00F02979">
        <w:rPr>
          <w:rFonts w:ascii="Arial" w:hAnsi="Arial" w:cs="Arial"/>
          <w:sz w:val="22"/>
          <w:szCs w:val="22"/>
        </w:rPr>
        <w:t xml:space="preserve"> neuvedenému v příloze vyžádat si předem souhlas objednatele.</w:t>
      </w:r>
    </w:p>
    <w:p w:rsidR="004943C6" w:rsidRPr="00F02979" w:rsidRDefault="00251C13"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Zhotovitel</w:t>
      </w:r>
      <w:r w:rsidR="004943C6" w:rsidRPr="00F02979">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F02979">
        <w:rPr>
          <w:rFonts w:ascii="Arial" w:hAnsi="Arial" w:cs="Arial"/>
          <w:sz w:val="22"/>
          <w:szCs w:val="22"/>
        </w:rPr>
        <w:t xml:space="preserve"> a dotčených organizací</w:t>
      </w:r>
      <w:r w:rsidR="004943C6" w:rsidRPr="00F02979">
        <w:rPr>
          <w:rFonts w:ascii="Arial" w:hAnsi="Arial" w:cs="Arial"/>
          <w:sz w:val="22"/>
          <w:szCs w:val="22"/>
        </w:rPr>
        <w:t xml:space="preserve">. </w:t>
      </w:r>
    </w:p>
    <w:p w:rsidR="004943C6" w:rsidRPr="00F02979" w:rsidRDefault="004943C6"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Při realizaci díla budou strany akceptovat podmínky provádění díla dle závazných rozhodnutí orgánů státní správy.</w:t>
      </w:r>
    </w:p>
    <w:p w:rsidR="0017701D"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17701D" w:rsidRPr="00F02979">
        <w:rPr>
          <w:rFonts w:cs="Arial"/>
          <w:sz w:val="22"/>
          <w:szCs w:val="22"/>
        </w:rPr>
        <w:t xml:space="preserve"> zajistí DIR, dodrží jeho podmínky a podmínky dopravní obslužnosti a uhradí jakékoliv sankce za jeho porušení. V případě, že oprava nebude dokončena v termínu dle DIRu, si </w:t>
      </w:r>
      <w:r w:rsidRPr="00F02979">
        <w:rPr>
          <w:rFonts w:cs="Arial"/>
          <w:sz w:val="22"/>
          <w:szCs w:val="22"/>
        </w:rPr>
        <w:t>zhotovitel</w:t>
      </w:r>
      <w:r w:rsidR="0017701D" w:rsidRPr="00F02979">
        <w:rPr>
          <w:rFonts w:cs="Arial"/>
          <w:sz w:val="22"/>
          <w:szCs w:val="22"/>
        </w:rPr>
        <w:t xml:space="preserve"> sám a na vlastní náklady zajistí projednání a prodloužení (vydání) DIRu k řádnému dokončení práce.</w:t>
      </w:r>
    </w:p>
    <w:p w:rsidR="00E550C5" w:rsidRPr="00F02979" w:rsidRDefault="009E7B0C" w:rsidP="009E7B0C">
      <w:pPr>
        <w:pStyle w:val="Zkladntext3"/>
        <w:numPr>
          <w:ilvl w:val="1"/>
          <w:numId w:val="6"/>
        </w:numPr>
        <w:spacing w:before="120"/>
        <w:ind w:left="426" w:hanging="426"/>
        <w:rPr>
          <w:rFonts w:cs="Arial"/>
          <w:sz w:val="22"/>
          <w:szCs w:val="22"/>
        </w:rPr>
      </w:pPr>
      <w:r w:rsidRPr="00F02979">
        <w:rPr>
          <w:rFonts w:cs="Arial"/>
          <w:sz w:val="22"/>
          <w:szCs w:val="22"/>
        </w:rPr>
        <w:t xml:space="preserve">Osazení dopravního značení bude provedeno odbornou firmou. </w:t>
      </w:r>
      <w:r w:rsidR="00E550C5" w:rsidRPr="00F02979">
        <w:rPr>
          <w:rFonts w:cs="Arial"/>
          <w:sz w:val="22"/>
          <w:szCs w:val="22"/>
        </w:rPr>
        <w:t xml:space="preserve">Zhotovitel se zavazuje, že dopravní značení bude realizováno dle </w:t>
      </w:r>
      <w:r w:rsidR="007055AD" w:rsidRPr="00F02979">
        <w:rPr>
          <w:rFonts w:cs="Arial"/>
          <w:sz w:val="22"/>
          <w:szCs w:val="22"/>
        </w:rPr>
        <w:t>TP TSK</w:t>
      </w:r>
      <w:r w:rsidR="00E550C5" w:rsidRPr="00F02979">
        <w:rPr>
          <w:rFonts w:cs="Arial"/>
          <w:sz w:val="22"/>
          <w:szCs w:val="22"/>
        </w:rPr>
        <w:t>.</w:t>
      </w:r>
    </w:p>
    <w:p w:rsidR="004943C6"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4943C6" w:rsidRPr="00F02979">
        <w:rPr>
          <w:rFonts w:cs="Arial"/>
          <w:sz w:val="22"/>
          <w:szCs w:val="22"/>
        </w:rPr>
        <w:t xml:space="preserve"> si na vlastní náklady zajistí zařízení staveniště</w:t>
      </w:r>
      <w:r w:rsidR="00983376" w:rsidRPr="00F02979">
        <w:rPr>
          <w:rFonts w:cs="Arial"/>
          <w:sz w:val="22"/>
          <w:szCs w:val="22"/>
        </w:rPr>
        <w:t>, včetně projednání jeho umístění</w:t>
      </w:r>
      <w:r w:rsidR="004943C6" w:rsidRPr="00F02979">
        <w:rPr>
          <w:rFonts w:cs="Arial"/>
          <w:sz w:val="22"/>
          <w:szCs w:val="22"/>
        </w:rPr>
        <w:t>, jeho vytýčení příp. projednání záboru jeho plochy, zákresy stávajících inženýrských sítí a jejich vytýčení</w:t>
      </w:r>
      <w:r w:rsidR="00E16E49">
        <w:rPr>
          <w:rFonts w:cs="Arial"/>
          <w:sz w:val="22"/>
          <w:szCs w:val="22"/>
        </w:rPr>
        <w:t>.</w:t>
      </w:r>
    </w:p>
    <w:p w:rsidR="004943C6" w:rsidRPr="009C6F5D" w:rsidRDefault="004943C6" w:rsidP="00AF3599">
      <w:pPr>
        <w:pStyle w:val="Zkladntext3"/>
        <w:numPr>
          <w:ilvl w:val="1"/>
          <w:numId w:val="6"/>
        </w:numPr>
        <w:spacing w:before="120"/>
        <w:ind w:left="426" w:hanging="426"/>
        <w:rPr>
          <w:rFonts w:cs="Arial"/>
          <w:sz w:val="22"/>
          <w:szCs w:val="22"/>
        </w:rPr>
      </w:pPr>
      <w:r w:rsidRPr="00F02979">
        <w:rPr>
          <w:rFonts w:cs="Arial"/>
          <w:sz w:val="22"/>
          <w:szCs w:val="22"/>
        </w:rPr>
        <w:t xml:space="preserve">Před předáním díla předá </w:t>
      </w:r>
      <w:r w:rsidR="00251C13" w:rsidRPr="00F02979">
        <w:rPr>
          <w:rFonts w:cs="Arial"/>
          <w:sz w:val="22"/>
          <w:szCs w:val="22"/>
        </w:rPr>
        <w:t>zhotovitel</w:t>
      </w:r>
      <w:r w:rsidRPr="00F02979">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w:t>
      </w:r>
      <w:r w:rsidRPr="009C6F5D">
        <w:rPr>
          <w:rFonts w:cs="Arial"/>
          <w:sz w:val="22"/>
          <w:szCs w:val="22"/>
        </w:rPr>
        <w:t>předepsané laboratoří objednatele.</w:t>
      </w:r>
    </w:p>
    <w:p w:rsidR="00C51E0A" w:rsidRPr="009C6F5D" w:rsidRDefault="00251C13" w:rsidP="00AF3599">
      <w:pPr>
        <w:pStyle w:val="Zkladntext3"/>
        <w:numPr>
          <w:ilvl w:val="1"/>
          <w:numId w:val="6"/>
        </w:numPr>
        <w:spacing w:before="120"/>
        <w:ind w:left="426" w:hanging="426"/>
        <w:rPr>
          <w:rFonts w:cs="Arial"/>
          <w:sz w:val="22"/>
          <w:szCs w:val="22"/>
        </w:rPr>
      </w:pPr>
      <w:r w:rsidRPr="009C6F5D">
        <w:rPr>
          <w:rFonts w:cs="Arial"/>
          <w:sz w:val="22"/>
          <w:szCs w:val="22"/>
        </w:rPr>
        <w:t>Zhotovitel</w:t>
      </w:r>
      <w:r w:rsidR="00C51E0A" w:rsidRPr="009C6F5D">
        <w:rPr>
          <w:rFonts w:cs="Arial"/>
          <w:sz w:val="22"/>
          <w:szCs w:val="22"/>
        </w:rPr>
        <w:t xml:space="preserve"> zajistí dopracování projektové realizační dokumentace a zábor veřejného prostranství.</w:t>
      </w:r>
    </w:p>
    <w:p w:rsidR="00F2193C" w:rsidRPr="009C6F5D" w:rsidRDefault="00F2193C" w:rsidP="004A0C11">
      <w:pPr>
        <w:pStyle w:val="Zkladntext3"/>
        <w:numPr>
          <w:ilvl w:val="1"/>
          <w:numId w:val="6"/>
        </w:numPr>
        <w:spacing w:before="120"/>
        <w:ind w:left="426" w:hanging="426"/>
        <w:rPr>
          <w:rFonts w:cs="Arial"/>
          <w:sz w:val="22"/>
          <w:szCs w:val="22"/>
        </w:rPr>
      </w:pPr>
      <w:r w:rsidRPr="009C6F5D">
        <w:rPr>
          <w:rFonts w:cs="Arial"/>
          <w:sz w:val="22"/>
          <w:szCs w:val="22"/>
        </w:rPr>
        <w:t xml:space="preserve">Před zahájením stavby předá zhotovitel objednateli vyhotovení realizační dokumentace stavby (RDS) - </w:t>
      </w:r>
      <w:r w:rsidR="00CE190E" w:rsidRPr="009C6F5D">
        <w:rPr>
          <w:rFonts w:cs="Arial"/>
          <w:sz w:val="22"/>
          <w:szCs w:val="22"/>
        </w:rPr>
        <w:t>3</w:t>
      </w:r>
      <w:r w:rsidRPr="009C6F5D">
        <w:rPr>
          <w:rFonts w:cs="Arial"/>
          <w:sz w:val="22"/>
          <w:szCs w:val="22"/>
        </w:rPr>
        <w:t xml:space="preserve"> tištěn</w:t>
      </w:r>
      <w:r w:rsidR="00CE190E" w:rsidRPr="009C6F5D">
        <w:rPr>
          <w:rFonts w:cs="Arial"/>
          <w:sz w:val="22"/>
          <w:szCs w:val="22"/>
        </w:rPr>
        <w:t>á</w:t>
      </w:r>
      <w:r w:rsidRPr="009C6F5D">
        <w:rPr>
          <w:rFonts w:cs="Arial"/>
          <w:sz w:val="22"/>
          <w:szCs w:val="22"/>
        </w:rPr>
        <w:t xml:space="preserve"> paré + 3x elektronicky ve formátu DOC, XLS, PDF a DWG a pasportizaci objektů</w:t>
      </w:r>
      <w:r w:rsidR="00BB3CDE" w:rsidRPr="009C6F5D">
        <w:rPr>
          <w:rFonts w:cs="Arial"/>
          <w:sz w:val="22"/>
          <w:szCs w:val="22"/>
        </w:rPr>
        <w:t>.</w:t>
      </w:r>
    </w:p>
    <w:p w:rsidR="009B0820" w:rsidRPr="009C6F5D" w:rsidRDefault="00251C13" w:rsidP="00AF3599">
      <w:pPr>
        <w:pStyle w:val="Zkladntext3"/>
        <w:numPr>
          <w:ilvl w:val="1"/>
          <w:numId w:val="6"/>
        </w:numPr>
        <w:spacing w:before="120"/>
        <w:ind w:left="426" w:hanging="426"/>
        <w:rPr>
          <w:rFonts w:cs="Arial"/>
          <w:sz w:val="22"/>
          <w:szCs w:val="22"/>
        </w:rPr>
      </w:pPr>
      <w:r w:rsidRPr="009C6F5D">
        <w:rPr>
          <w:rFonts w:cs="Arial"/>
          <w:sz w:val="22"/>
          <w:szCs w:val="22"/>
        </w:rPr>
        <w:t>Zhotovitel</w:t>
      </w:r>
      <w:r w:rsidR="004943C6" w:rsidRPr="009C6F5D">
        <w:rPr>
          <w:rFonts w:cs="Arial"/>
          <w:sz w:val="22"/>
          <w:szCs w:val="22"/>
        </w:rPr>
        <w:t xml:space="preserve"> bere na vědomí, že použití náhradních hmot, materiálů nebo výrobků musí odsouhlasit objednatel a zpracovatel PD.</w:t>
      </w:r>
      <w:r w:rsidR="009B0820" w:rsidRPr="009C6F5D">
        <w:rPr>
          <w:rFonts w:cs="Arial"/>
          <w:sz w:val="22"/>
          <w:szCs w:val="22"/>
        </w:rPr>
        <w:t xml:space="preserve"> </w:t>
      </w:r>
    </w:p>
    <w:p w:rsidR="00BD2417" w:rsidRPr="009C6F5D" w:rsidRDefault="00BD2417" w:rsidP="00AF3599">
      <w:pPr>
        <w:pStyle w:val="Zkladntext3"/>
        <w:numPr>
          <w:ilvl w:val="1"/>
          <w:numId w:val="6"/>
        </w:numPr>
        <w:spacing w:before="120"/>
        <w:ind w:left="426" w:hanging="426"/>
        <w:rPr>
          <w:rFonts w:cs="Arial"/>
          <w:sz w:val="22"/>
          <w:szCs w:val="22"/>
        </w:rPr>
      </w:pPr>
      <w:r w:rsidRPr="009C6F5D">
        <w:rPr>
          <w:rFonts w:cs="Arial"/>
          <w:sz w:val="22"/>
          <w:szCs w:val="22"/>
        </w:rPr>
        <w:lastRenderedPageBreak/>
        <w:t>Zhotovitel se zavazuje, že zajistí zhotovení geometrických plánů po ukončení stavby.</w:t>
      </w:r>
    </w:p>
    <w:p w:rsidR="00BD2417" w:rsidRPr="009C6F5D" w:rsidRDefault="00BD2417" w:rsidP="00BD2417">
      <w:pPr>
        <w:pStyle w:val="Zkladntext3"/>
        <w:numPr>
          <w:ilvl w:val="1"/>
          <w:numId w:val="6"/>
        </w:numPr>
        <w:spacing w:before="120"/>
        <w:ind w:left="426" w:hanging="426"/>
        <w:rPr>
          <w:rFonts w:cs="Arial"/>
          <w:sz w:val="22"/>
          <w:szCs w:val="22"/>
        </w:rPr>
      </w:pPr>
      <w:r w:rsidRPr="009C6F5D">
        <w:rPr>
          <w:rFonts w:cs="Arial"/>
          <w:snapToGrid w:val="0"/>
          <w:color w:val="000000"/>
          <w:sz w:val="22"/>
          <w:szCs w:val="22"/>
        </w:rPr>
        <w:t>Zhotovitel předá na odd</w:t>
      </w:r>
      <w:r w:rsidR="002C3CC7" w:rsidRPr="009C6F5D">
        <w:rPr>
          <w:rFonts w:cs="Arial"/>
          <w:snapToGrid w:val="0"/>
          <w:color w:val="000000"/>
          <w:sz w:val="22"/>
          <w:szCs w:val="22"/>
        </w:rPr>
        <w:t>. inf. rozvoje a GIS</w:t>
      </w:r>
      <w:r w:rsidRPr="009C6F5D">
        <w:rPr>
          <w:rFonts w:cs="Arial"/>
          <w:snapToGrid w:val="0"/>
          <w:color w:val="000000"/>
          <w:sz w:val="22"/>
          <w:szCs w:val="22"/>
        </w:rPr>
        <w:t xml:space="preserve"> dokumentaci skutečného provedení stavby</w:t>
      </w:r>
      <w:r w:rsidRPr="009C6F5D">
        <w:rPr>
          <w:rFonts w:cs="Arial"/>
          <w:sz w:val="22"/>
          <w:szCs w:val="22"/>
        </w:rPr>
        <w:t xml:space="preserve"> </w:t>
      </w:r>
      <w:r w:rsidRPr="009C6F5D">
        <w:rPr>
          <w:rFonts w:cs="Arial"/>
          <w:snapToGrid w:val="0"/>
          <w:color w:val="000000"/>
          <w:sz w:val="22"/>
          <w:szCs w:val="22"/>
        </w:rPr>
        <w:t xml:space="preserve">v dig. formě (referenční systém Bpv), geodetické zaměření (papírově a digitálně) a potvrzení o předání na IPR Praha. Doklad k potvrzení zhotovitel obdrží od </w:t>
      </w:r>
      <w:r w:rsidR="00B644A2" w:rsidRPr="009C6F5D">
        <w:rPr>
          <w:rFonts w:cs="Arial"/>
          <w:snapToGrid w:val="0"/>
          <w:color w:val="000000"/>
          <w:sz w:val="22"/>
          <w:szCs w:val="22"/>
        </w:rPr>
        <w:t xml:space="preserve">TDS </w:t>
      </w:r>
      <w:r w:rsidRPr="009C6F5D">
        <w:rPr>
          <w:rFonts w:cs="Arial"/>
          <w:snapToGrid w:val="0"/>
          <w:color w:val="000000"/>
          <w:sz w:val="22"/>
          <w:szCs w:val="22"/>
        </w:rPr>
        <w:t>dané akce.</w:t>
      </w:r>
    </w:p>
    <w:p w:rsidR="00005EC5" w:rsidRPr="009C6F5D" w:rsidRDefault="00251C13" w:rsidP="00AF3599">
      <w:pPr>
        <w:pStyle w:val="Zkladntext3"/>
        <w:numPr>
          <w:ilvl w:val="1"/>
          <w:numId w:val="6"/>
        </w:numPr>
        <w:spacing w:before="120"/>
        <w:ind w:left="426" w:hanging="426"/>
        <w:rPr>
          <w:rFonts w:cs="Arial"/>
          <w:sz w:val="22"/>
          <w:szCs w:val="22"/>
        </w:rPr>
      </w:pPr>
      <w:r w:rsidRPr="009C6F5D">
        <w:rPr>
          <w:rFonts w:cs="Arial"/>
          <w:sz w:val="22"/>
          <w:szCs w:val="22"/>
        </w:rPr>
        <w:t>Zhotovitel</w:t>
      </w:r>
      <w:r w:rsidR="00005EC5" w:rsidRPr="009C6F5D">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t>XII.</w:t>
      </w:r>
    </w:p>
    <w:p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A12C3A" w:rsidRPr="00A12C3A">
        <w:rPr>
          <w:rFonts w:ascii="Arial" w:hAnsi="Arial" w:cs="Arial"/>
          <w:b/>
          <w:sz w:val="22"/>
          <w:szCs w:val="22"/>
          <w:lang w:eastAsia="x-none"/>
        </w:rPr>
        <w:t>5</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rsidR="004943C6" w:rsidRPr="00F02979" w:rsidRDefault="004943C6" w:rsidP="004943C6">
      <w:pPr>
        <w:tabs>
          <w:tab w:val="left" w:pos="284"/>
        </w:tabs>
        <w:spacing w:before="12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rsidR="009B0820"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rsidR="00A12C3A" w:rsidRPr="00A12C3A" w:rsidRDefault="00A12C3A" w:rsidP="00A12C3A">
      <w:pPr>
        <w:pStyle w:val="Odstavecseseznamem"/>
        <w:numPr>
          <w:ilvl w:val="0"/>
          <w:numId w:val="9"/>
        </w:numPr>
        <w:spacing w:before="120" w:line="240" w:lineRule="atLeast"/>
        <w:contextualSpacing w:val="0"/>
        <w:jc w:val="both"/>
        <w:rPr>
          <w:rFonts w:ascii="Arial" w:hAnsi="Arial" w:cs="Arial"/>
          <w:sz w:val="22"/>
          <w:szCs w:val="22"/>
        </w:rPr>
      </w:pPr>
      <w:r w:rsidRPr="00A12C3A">
        <w:rPr>
          <w:rFonts w:ascii="Arial" w:hAnsi="Arial"/>
          <w:sz w:val="22"/>
          <w:szCs w:val="22"/>
        </w:rPr>
        <w:t>Tato smlouva je vyhotovena v pěti stejnopisech, z nichž každý má platnost originálu, objednatel obdrží 3 stejnopisy a zhotovitel 2 stejnopisy.</w:t>
      </w:r>
    </w:p>
    <w:p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hl.m.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lastRenderedPageBreak/>
        <w:t>Tato smlouva nabývá platnosti dnem jejího podpisu oběma smluvními stranami a účinnosti dnem jejího zveřejnění v registru smluv</w:t>
      </w:r>
      <w:r w:rsidR="00367C19" w:rsidRPr="00B47FC9">
        <w:rPr>
          <w:rFonts w:ascii="Arial" w:hAnsi="Arial" w:cs="Arial"/>
          <w:bCs/>
          <w:sz w:val="22"/>
          <w:szCs w:val="22"/>
        </w:rPr>
        <w:t>.</w:t>
      </w:r>
    </w:p>
    <w:p w:rsidR="00A12C3A" w:rsidRDefault="00A12C3A" w:rsidP="00A12C3A">
      <w:pPr>
        <w:pStyle w:val="Odstavecseseznamem"/>
        <w:tabs>
          <w:tab w:val="num" w:pos="2502"/>
        </w:tabs>
        <w:spacing w:before="120" w:line="240" w:lineRule="atLeast"/>
        <w:ind w:left="357"/>
        <w:contextualSpacing w:val="0"/>
        <w:jc w:val="both"/>
        <w:rPr>
          <w:rFonts w:ascii="Arial" w:hAnsi="Arial" w:cs="Arial"/>
          <w:bCs/>
          <w:sz w:val="22"/>
          <w:szCs w:val="22"/>
        </w:rPr>
      </w:pPr>
    </w:p>
    <w:p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227436" w:rsidRPr="00B47FC9" w:rsidRDefault="00227436"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B47FC9">
        <w:rPr>
          <w:rFonts w:ascii="Arial" w:hAnsi="Arial" w:cs="Arial"/>
          <w:sz w:val="22"/>
          <w:szCs w:val="22"/>
        </w:rPr>
        <w:t xml:space="preserve">které jsou uveřejněny na webovských stránkách objednatele, </w:t>
      </w:r>
      <w:r w:rsidRPr="00B47FC9">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rsidR="002F134B" w:rsidRPr="00E16E49" w:rsidRDefault="002F134B" w:rsidP="002F134B">
      <w:pPr>
        <w:numPr>
          <w:ilvl w:val="1"/>
          <w:numId w:val="8"/>
        </w:numPr>
        <w:tabs>
          <w:tab w:val="clear" w:pos="1440"/>
          <w:tab w:val="num" w:pos="1276"/>
        </w:tabs>
        <w:ind w:left="709" w:hanging="283"/>
        <w:jc w:val="both"/>
        <w:rPr>
          <w:rFonts w:ascii="Arial" w:hAnsi="Arial" w:cs="Arial"/>
          <w:sz w:val="22"/>
          <w:szCs w:val="22"/>
        </w:rPr>
      </w:pPr>
      <w:r w:rsidRPr="00E16E49">
        <w:rPr>
          <w:rFonts w:ascii="Arial" w:hAnsi="Arial" w:cs="Arial"/>
          <w:sz w:val="22"/>
          <w:szCs w:val="22"/>
        </w:rPr>
        <w:t>Plán kontrolních prohlídek</w:t>
      </w:r>
    </w:p>
    <w:p w:rsidR="00422CC6" w:rsidRPr="00F02979" w:rsidRDefault="00422CC6" w:rsidP="000872F5">
      <w:pPr>
        <w:ind w:left="709"/>
        <w:jc w:val="both"/>
        <w:rPr>
          <w:rFonts w:ascii="Arial" w:hAnsi="Arial" w:cs="Arial"/>
          <w:sz w:val="22"/>
          <w:szCs w:val="22"/>
        </w:rPr>
      </w:pPr>
    </w:p>
    <w:p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rsidR="000E332D" w:rsidRPr="00F02979" w:rsidRDefault="000E332D">
      <w:pPr>
        <w:ind w:left="283"/>
        <w:rPr>
          <w:rFonts w:ascii="Arial" w:hAnsi="Arial" w:cs="Arial"/>
          <w:sz w:val="22"/>
          <w:szCs w:val="22"/>
        </w:rPr>
      </w:pPr>
    </w:p>
    <w:p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C6F5D">
        <w:rPr>
          <w:rFonts w:ascii="Arial" w:hAnsi="Arial" w:cs="Arial"/>
          <w:b/>
          <w:sz w:val="22"/>
          <w:szCs w:val="22"/>
        </w:rPr>
        <w:t xml:space="preserve">Za </w:t>
      </w:r>
      <w:r w:rsidRPr="00F02979">
        <w:rPr>
          <w:rFonts w:ascii="Arial" w:hAnsi="Arial" w:cs="Arial"/>
          <w:b/>
          <w:sz w:val="22"/>
          <w:szCs w:val="22"/>
        </w:rPr>
        <w:t>objednatel</w:t>
      </w:r>
      <w:r w:rsidR="009C6F5D">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C6F5D">
        <w:rPr>
          <w:rFonts w:ascii="Arial" w:hAnsi="Arial" w:cs="Arial"/>
          <w:b/>
          <w:sz w:val="22"/>
          <w:szCs w:val="22"/>
        </w:rPr>
        <w:t xml:space="preserve">Za </w:t>
      </w:r>
      <w:r w:rsidR="00251C13" w:rsidRPr="00F02979">
        <w:rPr>
          <w:rFonts w:ascii="Arial" w:hAnsi="Arial" w:cs="Arial"/>
          <w:b/>
          <w:sz w:val="22"/>
          <w:szCs w:val="22"/>
        </w:rPr>
        <w:t>zhotovitel</w:t>
      </w:r>
      <w:r w:rsidR="009C6F5D">
        <w:rPr>
          <w:rFonts w:ascii="Arial" w:hAnsi="Arial" w:cs="Arial"/>
          <w:b/>
          <w:sz w:val="22"/>
          <w:szCs w:val="22"/>
        </w:rPr>
        <w:t>e</w:t>
      </w:r>
    </w:p>
    <w:p w:rsidR="009B0820" w:rsidRDefault="009B0820">
      <w:pPr>
        <w:rPr>
          <w:rFonts w:ascii="Arial" w:hAnsi="Arial" w:cs="Arial"/>
          <w:b/>
          <w:sz w:val="22"/>
          <w:szCs w:val="22"/>
        </w:rPr>
      </w:pPr>
    </w:p>
    <w:p w:rsidR="001E5EA9" w:rsidRPr="00F02979" w:rsidRDefault="001E5EA9">
      <w:pPr>
        <w:rPr>
          <w:rFonts w:ascii="Arial" w:hAnsi="Arial" w:cs="Arial"/>
          <w:b/>
          <w:sz w:val="22"/>
          <w:szCs w:val="22"/>
        </w:rPr>
      </w:pPr>
    </w:p>
    <w:p w:rsidR="007C2F9F" w:rsidRPr="00F02979" w:rsidRDefault="007C2F9F">
      <w:pPr>
        <w:rPr>
          <w:rFonts w:ascii="Arial" w:hAnsi="Arial" w:cs="Arial"/>
          <w:b/>
          <w:sz w:val="22"/>
          <w:szCs w:val="22"/>
        </w:rPr>
      </w:pPr>
    </w:p>
    <w:p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rsidR="00F91CA1" w:rsidRPr="00F02979" w:rsidRDefault="00F91CA1" w:rsidP="00F91CA1">
      <w:pPr>
        <w:rPr>
          <w:rFonts w:ascii="Arial" w:hAnsi="Arial" w:cs="Arial"/>
          <w:sz w:val="22"/>
          <w:szCs w:val="22"/>
        </w:rPr>
      </w:pPr>
      <w:r w:rsidRPr="00F02979">
        <w:rPr>
          <w:rFonts w:ascii="Arial" w:hAnsi="Arial" w:cs="Arial"/>
          <w:sz w:val="22"/>
          <w:szCs w:val="22"/>
        </w:rPr>
        <w:tab/>
      </w:r>
    </w:p>
    <w:p w:rsidR="00D1367E" w:rsidRDefault="00D1367E" w:rsidP="00F91CA1">
      <w:pPr>
        <w:rPr>
          <w:rFonts w:ascii="Arial" w:hAnsi="Arial" w:cs="Arial"/>
          <w:sz w:val="22"/>
          <w:szCs w:val="22"/>
        </w:rPr>
      </w:pPr>
    </w:p>
    <w:p w:rsidR="001E5EA9" w:rsidRDefault="001E5EA9" w:rsidP="00F91CA1">
      <w:pPr>
        <w:rPr>
          <w:rFonts w:ascii="Arial" w:hAnsi="Arial" w:cs="Arial"/>
          <w:sz w:val="22"/>
          <w:szCs w:val="22"/>
        </w:rPr>
      </w:pPr>
    </w:p>
    <w:p w:rsidR="001E5EA9" w:rsidRPr="00F02979" w:rsidRDefault="001E5EA9" w:rsidP="00F91CA1">
      <w:pPr>
        <w:rPr>
          <w:rFonts w:ascii="Arial" w:hAnsi="Arial" w:cs="Arial"/>
          <w:sz w:val="22"/>
          <w:szCs w:val="22"/>
        </w:rPr>
      </w:pPr>
    </w:p>
    <w:p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3C" w:rsidRDefault="00A7283C">
      <w:r>
        <w:separator/>
      </w:r>
    </w:p>
  </w:endnote>
  <w:endnote w:type="continuationSeparator" w:id="0">
    <w:p w:rsidR="00A7283C" w:rsidRDefault="00A7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A24250">
      <w:rPr>
        <w:rFonts w:ascii="Arial" w:hAnsi="Arial" w:cs="Arial"/>
        <w:noProof/>
        <w:sz w:val="20"/>
        <w:szCs w:val="20"/>
      </w:rPr>
      <w:t>11</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3C" w:rsidRDefault="00A7283C">
      <w:r>
        <w:separator/>
      </w:r>
    </w:p>
  </w:footnote>
  <w:footnote w:type="continuationSeparator" w:id="0">
    <w:p w:rsidR="00A7283C" w:rsidRDefault="00A72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06C4D434"/>
    <w:lvl w:ilvl="0" w:tplc="62524E7A">
      <w:start w:val="1"/>
      <w:numFmt w:val="decimal"/>
      <w:lvlText w:val="%1."/>
      <w:lvlJc w:val="left"/>
      <w:pPr>
        <w:ind w:left="786" w:hanging="360"/>
      </w:pPr>
      <w:rPr>
        <w:rFonts w:ascii="Arial" w:eastAsia="Times New Roman" w:hAnsi="Arial" w:cs="Arial"/>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9">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1"/>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13"/>
  </w:num>
  <w:num w:numId="11">
    <w:abstractNumId w:val="14"/>
  </w:num>
  <w:num w:numId="12">
    <w:abstractNumId w:val="12"/>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5"/>
  </w:num>
  <w:num w:numId="18">
    <w:abstractNumId w:val="16"/>
  </w:num>
  <w:num w:numId="19">
    <w:abstractNumId w:val="0"/>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26EA8"/>
    <w:rsid w:val="00043A83"/>
    <w:rsid w:val="00046A6C"/>
    <w:rsid w:val="000471C8"/>
    <w:rsid w:val="000517F6"/>
    <w:rsid w:val="00052CA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30F8"/>
    <w:rsid w:val="00174BCA"/>
    <w:rsid w:val="00175428"/>
    <w:rsid w:val="00175C27"/>
    <w:rsid w:val="00176E3E"/>
    <w:rsid w:val="0017701D"/>
    <w:rsid w:val="00180DD5"/>
    <w:rsid w:val="0018220F"/>
    <w:rsid w:val="00183940"/>
    <w:rsid w:val="00183B76"/>
    <w:rsid w:val="00187D20"/>
    <w:rsid w:val="001956CC"/>
    <w:rsid w:val="001A3D54"/>
    <w:rsid w:val="001B0B29"/>
    <w:rsid w:val="001B300D"/>
    <w:rsid w:val="001B3CA0"/>
    <w:rsid w:val="001C00B8"/>
    <w:rsid w:val="001C2C37"/>
    <w:rsid w:val="001D0FE1"/>
    <w:rsid w:val="001D3E32"/>
    <w:rsid w:val="001D4163"/>
    <w:rsid w:val="001D47B6"/>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F009B"/>
    <w:rsid w:val="002F134B"/>
    <w:rsid w:val="002F6C66"/>
    <w:rsid w:val="00300B60"/>
    <w:rsid w:val="003051B3"/>
    <w:rsid w:val="0031171E"/>
    <w:rsid w:val="00313553"/>
    <w:rsid w:val="00313556"/>
    <w:rsid w:val="00322D2E"/>
    <w:rsid w:val="00331709"/>
    <w:rsid w:val="0033367B"/>
    <w:rsid w:val="00335C95"/>
    <w:rsid w:val="00336E58"/>
    <w:rsid w:val="003459F4"/>
    <w:rsid w:val="0035036B"/>
    <w:rsid w:val="00353472"/>
    <w:rsid w:val="00354CCE"/>
    <w:rsid w:val="00357879"/>
    <w:rsid w:val="00362EEA"/>
    <w:rsid w:val="00363B3A"/>
    <w:rsid w:val="00367C19"/>
    <w:rsid w:val="003747FF"/>
    <w:rsid w:val="00375557"/>
    <w:rsid w:val="003767B4"/>
    <w:rsid w:val="00385408"/>
    <w:rsid w:val="00391B1B"/>
    <w:rsid w:val="003A54CA"/>
    <w:rsid w:val="003B1E81"/>
    <w:rsid w:val="003B40CE"/>
    <w:rsid w:val="003B7C5B"/>
    <w:rsid w:val="003B7F98"/>
    <w:rsid w:val="003C0B5C"/>
    <w:rsid w:val="003C2A00"/>
    <w:rsid w:val="003C4CDE"/>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0C11"/>
    <w:rsid w:val="004A5446"/>
    <w:rsid w:val="004A5A56"/>
    <w:rsid w:val="004B1D3D"/>
    <w:rsid w:val="004B44AB"/>
    <w:rsid w:val="004B6918"/>
    <w:rsid w:val="004B7812"/>
    <w:rsid w:val="004C38AD"/>
    <w:rsid w:val="004C5068"/>
    <w:rsid w:val="004C6D7D"/>
    <w:rsid w:val="004D4A28"/>
    <w:rsid w:val="004E72CD"/>
    <w:rsid w:val="004F010D"/>
    <w:rsid w:val="004F3207"/>
    <w:rsid w:val="005028F7"/>
    <w:rsid w:val="0051249F"/>
    <w:rsid w:val="00524196"/>
    <w:rsid w:val="0052629E"/>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3A60"/>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923EA"/>
    <w:rsid w:val="006979FA"/>
    <w:rsid w:val="006A6B54"/>
    <w:rsid w:val="006B034C"/>
    <w:rsid w:val="006C1C66"/>
    <w:rsid w:val="006C385A"/>
    <w:rsid w:val="006C6DE3"/>
    <w:rsid w:val="006C7F2E"/>
    <w:rsid w:val="006D0702"/>
    <w:rsid w:val="006D7459"/>
    <w:rsid w:val="006F0F97"/>
    <w:rsid w:val="006F29D4"/>
    <w:rsid w:val="006F4D27"/>
    <w:rsid w:val="0070145E"/>
    <w:rsid w:val="00703EEE"/>
    <w:rsid w:val="00704C87"/>
    <w:rsid w:val="007055AD"/>
    <w:rsid w:val="00707039"/>
    <w:rsid w:val="00720FD3"/>
    <w:rsid w:val="00727394"/>
    <w:rsid w:val="00727461"/>
    <w:rsid w:val="0073643A"/>
    <w:rsid w:val="00740755"/>
    <w:rsid w:val="0074149C"/>
    <w:rsid w:val="007479AF"/>
    <w:rsid w:val="00753696"/>
    <w:rsid w:val="00753D0E"/>
    <w:rsid w:val="00766614"/>
    <w:rsid w:val="0077513D"/>
    <w:rsid w:val="00796D57"/>
    <w:rsid w:val="007A3FE5"/>
    <w:rsid w:val="007A656E"/>
    <w:rsid w:val="007B55A4"/>
    <w:rsid w:val="007B690E"/>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79B5"/>
    <w:rsid w:val="008615A3"/>
    <w:rsid w:val="00861D3F"/>
    <w:rsid w:val="00867F0D"/>
    <w:rsid w:val="008704BD"/>
    <w:rsid w:val="008716EF"/>
    <w:rsid w:val="0087547C"/>
    <w:rsid w:val="008763BB"/>
    <w:rsid w:val="00882920"/>
    <w:rsid w:val="00883928"/>
    <w:rsid w:val="00893F4D"/>
    <w:rsid w:val="0089506D"/>
    <w:rsid w:val="008A129A"/>
    <w:rsid w:val="008A2696"/>
    <w:rsid w:val="008A6CF1"/>
    <w:rsid w:val="008B4E8F"/>
    <w:rsid w:val="008B6262"/>
    <w:rsid w:val="008B6626"/>
    <w:rsid w:val="008C1C6A"/>
    <w:rsid w:val="008C3ADA"/>
    <w:rsid w:val="008E0376"/>
    <w:rsid w:val="008E03E6"/>
    <w:rsid w:val="00902F1A"/>
    <w:rsid w:val="009100AF"/>
    <w:rsid w:val="00913DAB"/>
    <w:rsid w:val="00915271"/>
    <w:rsid w:val="0092137B"/>
    <w:rsid w:val="009253AD"/>
    <w:rsid w:val="00926589"/>
    <w:rsid w:val="0093068D"/>
    <w:rsid w:val="00941BAE"/>
    <w:rsid w:val="00942974"/>
    <w:rsid w:val="00944EFE"/>
    <w:rsid w:val="00945E1C"/>
    <w:rsid w:val="009512CD"/>
    <w:rsid w:val="00964E34"/>
    <w:rsid w:val="0097210A"/>
    <w:rsid w:val="00973D72"/>
    <w:rsid w:val="00980AD9"/>
    <w:rsid w:val="00983376"/>
    <w:rsid w:val="00983D8E"/>
    <w:rsid w:val="00983F5C"/>
    <w:rsid w:val="0098745C"/>
    <w:rsid w:val="009916A0"/>
    <w:rsid w:val="00994C93"/>
    <w:rsid w:val="009968FC"/>
    <w:rsid w:val="009A3129"/>
    <w:rsid w:val="009B0820"/>
    <w:rsid w:val="009B4512"/>
    <w:rsid w:val="009C0037"/>
    <w:rsid w:val="009C1189"/>
    <w:rsid w:val="009C1F8C"/>
    <w:rsid w:val="009C225D"/>
    <w:rsid w:val="009C6F5D"/>
    <w:rsid w:val="009C72BA"/>
    <w:rsid w:val="009D779C"/>
    <w:rsid w:val="009D7BE2"/>
    <w:rsid w:val="009E049B"/>
    <w:rsid w:val="009E1823"/>
    <w:rsid w:val="009E61D3"/>
    <w:rsid w:val="009E7B0C"/>
    <w:rsid w:val="009F0E9F"/>
    <w:rsid w:val="009F136C"/>
    <w:rsid w:val="009F4C39"/>
    <w:rsid w:val="009F751A"/>
    <w:rsid w:val="009F788A"/>
    <w:rsid w:val="009F7BBE"/>
    <w:rsid w:val="00A02115"/>
    <w:rsid w:val="00A12C3A"/>
    <w:rsid w:val="00A24250"/>
    <w:rsid w:val="00A24EA8"/>
    <w:rsid w:val="00A25611"/>
    <w:rsid w:val="00A265FB"/>
    <w:rsid w:val="00A26A02"/>
    <w:rsid w:val="00A30AC6"/>
    <w:rsid w:val="00A3373B"/>
    <w:rsid w:val="00A33B00"/>
    <w:rsid w:val="00A438B0"/>
    <w:rsid w:val="00A4576F"/>
    <w:rsid w:val="00A54232"/>
    <w:rsid w:val="00A562C7"/>
    <w:rsid w:val="00A7154F"/>
    <w:rsid w:val="00A7283C"/>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3599"/>
    <w:rsid w:val="00AF6693"/>
    <w:rsid w:val="00B005A8"/>
    <w:rsid w:val="00B100BD"/>
    <w:rsid w:val="00B115D6"/>
    <w:rsid w:val="00B1246E"/>
    <w:rsid w:val="00B14447"/>
    <w:rsid w:val="00B256DA"/>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7729"/>
    <w:rsid w:val="00C71164"/>
    <w:rsid w:val="00C7769D"/>
    <w:rsid w:val="00C91E2D"/>
    <w:rsid w:val="00C93CDA"/>
    <w:rsid w:val="00C94F81"/>
    <w:rsid w:val="00CB5B65"/>
    <w:rsid w:val="00CC6BB2"/>
    <w:rsid w:val="00CC7AEA"/>
    <w:rsid w:val="00CD0F47"/>
    <w:rsid w:val="00CD3810"/>
    <w:rsid w:val="00CE190E"/>
    <w:rsid w:val="00CE54E3"/>
    <w:rsid w:val="00CF537A"/>
    <w:rsid w:val="00D0208C"/>
    <w:rsid w:val="00D03963"/>
    <w:rsid w:val="00D071A2"/>
    <w:rsid w:val="00D07F36"/>
    <w:rsid w:val="00D1367E"/>
    <w:rsid w:val="00D14BA0"/>
    <w:rsid w:val="00D155E0"/>
    <w:rsid w:val="00D25DBC"/>
    <w:rsid w:val="00D3056B"/>
    <w:rsid w:val="00D307E3"/>
    <w:rsid w:val="00D32636"/>
    <w:rsid w:val="00D40DC6"/>
    <w:rsid w:val="00D46509"/>
    <w:rsid w:val="00D61F75"/>
    <w:rsid w:val="00D67C62"/>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78F6"/>
    <w:rsid w:val="00DD1552"/>
    <w:rsid w:val="00DD43B0"/>
    <w:rsid w:val="00DE1A44"/>
    <w:rsid w:val="00DE23D5"/>
    <w:rsid w:val="00DE774A"/>
    <w:rsid w:val="00DE77D1"/>
    <w:rsid w:val="00E01AAE"/>
    <w:rsid w:val="00E028BB"/>
    <w:rsid w:val="00E108C6"/>
    <w:rsid w:val="00E11E25"/>
    <w:rsid w:val="00E13F78"/>
    <w:rsid w:val="00E144D0"/>
    <w:rsid w:val="00E16325"/>
    <w:rsid w:val="00E16E49"/>
    <w:rsid w:val="00E21C7A"/>
    <w:rsid w:val="00E227C5"/>
    <w:rsid w:val="00E24672"/>
    <w:rsid w:val="00E2542B"/>
    <w:rsid w:val="00E327F0"/>
    <w:rsid w:val="00E33103"/>
    <w:rsid w:val="00E35E30"/>
    <w:rsid w:val="00E36A0C"/>
    <w:rsid w:val="00E37277"/>
    <w:rsid w:val="00E40DB0"/>
    <w:rsid w:val="00E4469A"/>
    <w:rsid w:val="00E44E53"/>
    <w:rsid w:val="00E550C5"/>
    <w:rsid w:val="00E60415"/>
    <w:rsid w:val="00E6797F"/>
    <w:rsid w:val="00E87016"/>
    <w:rsid w:val="00E87594"/>
    <w:rsid w:val="00E97471"/>
    <w:rsid w:val="00EA7FAD"/>
    <w:rsid w:val="00EB3128"/>
    <w:rsid w:val="00EB7E37"/>
    <w:rsid w:val="00ED024C"/>
    <w:rsid w:val="00ED4032"/>
    <w:rsid w:val="00ED4FB2"/>
    <w:rsid w:val="00ED6A6C"/>
    <w:rsid w:val="00ED7CAF"/>
    <w:rsid w:val="00EE1DF4"/>
    <w:rsid w:val="00EE225D"/>
    <w:rsid w:val="00EF1621"/>
    <w:rsid w:val="00F02979"/>
    <w:rsid w:val="00F0557E"/>
    <w:rsid w:val="00F125D3"/>
    <w:rsid w:val="00F16FE7"/>
    <w:rsid w:val="00F17185"/>
    <w:rsid w:val="00F2193C"/>
    <w:rsid w:val="00F2286D"/>
    <w:rsid w:val="00F23E2D"/>
    <w:rsid w:val="00F34F1A"/>
    <w:rsid w:val="00F36F8C"/>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A009C"/>
    <w:rsid w:val="00FA0439"/>
    <w:rsid w:val="00FA5249"/>
    <w:rsid w:val="00FA5A47"/>
    <w:rsid w:val="00FB375B"/>
    <w:rsid w:val="00FB4F12"/>
    <w:rsid w:val="00FC169D"/>
    <w:rsid w:val="00FC3A28"/>
    <w:rsid w:val="00FD3C71"/>
    <w:rsid w:val="00FE5611"/>
    <w:rsid w:val="00FE5CE4"/>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39182504">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07258476">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88318087">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34161334">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0024376">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0007477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627040">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17642604">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0324396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sk-praha.cz" TargetMode="Externa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D8EC-E76D-40BD-928B-93871250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4664</Words>
  <Characters>28588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2020-03-03T08:04:00Z</cp:lastPrinted>
  <dcterms:created xsi:type="dcterms:W3CDTF">2020-02-25T07:48:00Z</dcterms:created>
  <dcterms:modified xsi:type="dcterms:W3CDTF">2020-03-03T08:15:00Z</dcterms:modified>
</cp:coreProperties>
</file>